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A7D" w:rsidRPr="00D52A7D" w:rsidRDefault="00D52A7D" w:rsidP="00D52A7D">
      <w:pPr>
        <w:pStyle w:val="NoSpacing"/>
        <w:jc w:val="center"/>
        <w:rPr>
          <w:rFonts w:ascii="Times New Roman" w:hAnsi="Times New Roman" w:cs="Times New Roman"/>
          <w:sz w:val="24"/>
          <w:szCs w:val="24"/>
        </w:rPr>
      </w:pPr>
      <w:r w:rsidRPr="00D52A7D">
        <w:rPr>
          <w:rFonts w:ascii="Times New Roman" w:hAnsi="Times New Roman" w:cs="Times New Roman"/>
          <w:sz w:val="24"/>
          <w:szCs w:val="24"/>
        </w:rPr>
        <w:t>ALASKA LABOR RELATIONS AGENCY</w:t>
      </w:r>
    </w:p>
    <w:p w:rsidR="00D52A7D" w:rsidRPr="00D52A7D" w:rsidRDefault="00D52A7D" w:rsidP="00D52A7D">
      <w:pPr>
        <w:pStyle w:val="NoSpacing"/>
        <w:jc w:val="center"/>
        <w:rPr>
          <w:rFonts w:ascii="Times New Roman" w:hAnsi="Times New Roman" w:cs="Times New Roman"/>
          <w:sz w:val="24"/>
          <w:szCs w:val="24"/>
        </w:rPr>
      </w:pPr>
      <w:r w:rsidRPr="00D52A7D">
        <w:rPr>
          <w:rFonts w:ascii="Times New Roman" w:hAnsi="Times New Roman" w:cs="Times New Roman"/>
          <w:sz w:val="24"/>
          <w:szCs w:val="24"/>
        </w:rPr>
        <w:t>3301 EAGLE STREET, SUITE 206</w:t>
      </w:r>
    </w:p>
    <w:p w:rsidR="00D52A7D" w:rsidRPr="00D52A7D" w:rsidRDefault="00D52A7D" w:rsidP="00D52A7D">
      <w:pPr>
        <w:pStyle w:val="NoSpacing"/>
        <w:jc w:val="center"/>
        <w:rPr>
          <w:rFonts w:ascii="Times New Roman" w:hAnsi="Times New Roman" w:cs="Times New Roman"/>
          <w:sz w:val="24"/>
          <w:szCs w:val="24"/>
        </w:rPr>
      </w:pPr>
      <w:r w:rsidRPr="00D52A7D">
        <w:rPr>
          <w:rFonts w:ascii="Times New Roman" w:hAnsi="Times New Roman" w:cs="Times New Roman"/>
          <w:sz w:val="24"/>
          <w:szCs w:val="24"/>
        </w:rPr>
        <w:t>ANCHORAGE, ALASKA 99503</w:t>
      </w:r>
    </w:p>
    <w:p w:rsidR="00D52A7D" w:rsidRDefault="00D52A7D" w:rsidP="00D52A7D">
      <w:pPr>
        <w:pStyle w:val="NoSpacing"/>
        <w:jc w:val="center"/>
        <w:rPr>
          <w:rFonts w:ascii="Times New Roman" w:hAnsi="Times New Roman" w:cs="Times New Roman"/>
          <w:sz w:val="24"/>
          <w:szCs w:val="24"/>
        </w:rPr>
      </w:pPr>
      <w:r w:rsidRPr="00D52A7D">
        <w:rPr>
          <w:rFonts w:ascii="Times New Roman" w:hAnsi="Times New Roman" w:cs="Times New Roman"/>
          <w:sz w:val="24"/>
          <w:szCs w:val="24"/>
        </w:rPr>
        <w:t>(907) 269-4895 FAX (907) 269-4898</w:t>
      </w:r>
    </w:p>
    <w:p w:rsidR="00B1344F" w:rsidRDefault="00B1344F" w:rsidP="00D52A7D">
      <w:pPr>
        <w:pStyle w:val="NoSpacing"/>
        <w:jc w:val="center"/>
        <w:rPr>
          <w:rFonts w:ascii="Times New Roman" w:hAnsi="Times New Roman" w:cs="Times New Roman"/>
          <w:sz w:val="24"/>
          <w:szCs w:val="24"/>
        </w:rPr>
      </w:pPr>
    </w:p>
    <w:p w:rsidR="00D52A7D" w:rsidRDefault="00B1344F" w:rsidP="00D52A7D">
      <w:pPr>
        <w:pStyle w:val="NoSpacing"/>
        <w:rPr>
          <w:rFonts w:ascii="Times New Roman" w:hAnsi="Times New Roman" w:cs="Times New Roman"/>
          <w:sz w:val="24"/>
          <w:szCs w:val="24"/>
        </w:rPr>
      </w:pPr>
      <w:r>
        <w:rPr>
          <w:rFonts w:ascii="Times New Roman" w:hAnsi="Times New Roman" w:cs="Times New Roman"/>
          <w:sz w:val="24"/>
          <w:szCs w:val="24"/>
        </w:rPr>
        <w:t>MATANUSKA-SUSITNA BOROUGH</w:t>
      </w:r>
      <w:r>
        <w:rPr>
          <w:rFonts w:ascii="Times New Roman" w:hAnsi="Times New Roman" w:cs="Times New Roman"/>
          <w:sz w:val="24"/>
          <w:szCs w:val="24"/>
        </w:rPr>
        <w:tab/>
        <w:t>)</w:t>
      </w:r>
    </w:p>
    <w:p w:rsidR="00B1344F" w:rsidRDefault="00B1344F" w:rsidP="00D52A7D">
      <w:pPr>
        <w:pStyle w:val="NoSpacing"/>
        <w:rPr>
          <w:rFonts w:ascii="Times New Roman" w:hAnsi="Times New Roman" w:cs="Times New Roman"/>
          <w:sz w:val="24"/>
          <w:szCs w:val="24"/>
        </w:rPr>
      </w:pPr>
      <w:r>
        <w:rPr>
          <w:rFonts w:ascii="Times New Roman" w:hAnsi="Times New Roman" w:cs="Times New Roman"/>
          <w:sz w:val="24"/>
          <w:szCs w:val="24"/>
        </w:rPr>
        <w:t>SCHOOL DISTRICT,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B1344F" w:rsidRDefault="00B1344F" w:rsidP="00D52A7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B1344F" w:rsidRDefault="00B1344F" w:rsidP="00D52A7D">
      <w:pPr>
        <w:pStyle w:val="NoSpacing"/>
        <w:rPr>
          <w:rFonts w:ascii="Times New Roman" w:hAnsi="Times New Roman" w:cs="Times New Roman"/>
          <w:sz w:val="24"/>
          <w:szCs w:val="24"/>
        </w:rPr>
      </w:pPr>
      <w:r>
        <w:rPr>
          <w:rFonts w:ascii="Times New Roman" w:hAnsi="Times New Roman" w:cs="Times New Roman"/>
          <w:sz w:val="24"/>
          <w:szCs w:val="24"/>
        </w:rPr>
        <w:tab/>
        <w:t>Complainant,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B1344F" w:rsidRDefault="00B1344F" w:rsidP="00D52A7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B1344F" w:rsidRDefault="00B1344F" w:rsidP="00D52A7D">
      <w:pPr>
        <w:pStyle w:val="NoSpacing"/>
        <w:rPr>
          <w:rFonts w:ascii="Times New Roman" w:hAnsi="Times New Roman" w:cs="Times New Roman"/>
          <w:sz w:val="24"/>
          <w:szCs w:val="24"/>
        </w:rPr>
      </w:pPr>
      <w:proofErr w:type="gramStart"/>
      <w:r>
        <w:rPr>
          <w:rFonts w:ascii="Times New Roman" w:hAnsi="Times New Roman" w:cs="Times New Roman"/>
          <w:sz w:val="24"/>
          <w:szCs w:val="24"/>
        </w:rPr>
        <w:t>v</w:t>
      </w:r>
      <w:proofErr w:type="gram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B1344F" w:rsidRDefault="00B1344F" w:rsidP="00D52A7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B1344F" w:rsidRDefault="00845CC7" w:rsidP="00D52A7D">
      <w:pPr>
        <w:pStyle w:val="NoSpacing"/>
        <w:rPr>
          <w:rFonts w:ascii="Times New Roman" w:hAnsi="Times New Roman" w:cs="Times New Roman"/>
          <w:sz w:val="24"/>
          <w:szCs w:val="24"/>
        </w:rPr>
      </w:pPr>
      <w:r>
        <w:rPr>
          <w:rFonts w:ascii="Times New Roman" w:hAnsi="Times New Roman" w:cs="Times New Roman"/>
          <w:sz w:val="24"/>
          <w:szCs w:val="24"/>
        </w:rPr>
        <w:t xml:space="preserve">CLASSIFIED EMPLOYEES </w:t>
      </w:r>
      <w:r>
        <w:rPr>
          <w:rFonts w:ascii="Times New Roman" w:hAnsi="Times New Roman" w:cs="Times New Roman"/>
          <w:sz w:val="24"/>
          <w:szCs w:val="24"/>
        </w:rPr>
        <w:tab/>
      </w:r>
      <w:r w:rsidR="00B1344F">
        <w:rPr>
          <w:rFonts w:ascii="Times New Roman" w:hAnsi="Times New Roman" w:cs="Times New Roman"/>
          <w:sz w:val="24"/>
          <w:szCs w:val="24"/>
        </w:rPr>
        <w:tab/>
        <w:t>)</w:t>
      </w:r>
    </w:p>
    <w:p w:rsidR="00B1344F" w:rsidRDefault="00B1344F" w:rsidP="00D52A7D">
      <w:pPr>
        <w:pStyle w:val="NoSpacing"/>
        <w:rPr>
          <w:rFonts w:ascii="Times New Roman" w:hAnsi="Times New Roman" w:cs="Times New Roman"/>
          <w:sz w:val="24"/>
          <w:szCs w:val="24"/>
        </w:rPr>
      </w:pPr>
      <w:r>
        <w:rPr>
          <w:rFonts w:ascii="Times New Roman" w:hAnsi="Times New Roman" w:cs="Times New Roman"/>
          <w:sz w:val="24"/>
          <w:szCs w:val="24"/>
        </w:rPr>
        <w:t>ASSOCIATION,</w:t>
      </w:r>
      <w:r w:rsidR="00FD5520">
        <w:rPr>
          <w:rFonts w:ascii="Times New Roman" w:hAnsi="Times New Roman" w:cs="Times New Roman"/>
          <w:sz w:val="24"/>
          <w:szCs w:val="24"/>
        </w:rPr>
        <w:t xml:space="preserve"> NEA</w:t>
      </w:r>
      <w:r w:rsidR="00845CC7">
        <w:rPr>
          <w:rFonts w:ascii="Times New Roman" w:hAnsi="Times New Roman" w:cs="Times New Roman"/>
          <w:sz w:val="24"/>
          <w:szCs w:val="24"/>
        </w:rPr>
        <w:t>–AK/NEA,</w:t>
      </w:r>
      <w:r>
        <w:rPr>
          <w:rFonts w:ascii="Times New Roman" w:hAnsi="Times New Roman" w:cs="Times New Roman"/>
          <w:sz w:val="24"/>
          <w:szCs w:val="24"/>
        </w:rPr>
        <w:tab/>
      </w:r>
      <w:r>
        <w:rPr>
          <w:rFonts w:ascii="Times New Roman" w:hAnsi="Times New Roman" w:cs="Times New Roman"/>
          <w:sz w:val="24"/>
          <w:szCs w:val="24"/>
        </w:rPr>
        <w:tab/>
        <w:t>)</w:t>
      </w:r>
    </w:p>
    <w:p w:rsidR="00B1344F" w:rsidRDefault="00B1344F" w:rsidP="00D52A7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B1344F" w:rsidRDefault="00B1344F" w:rsidP="00D52A7D">
      <w:pPr>
        <w:pStyle w:val="NoSpacing"/>
        <w:rPr>
          <w:rFonts w:ascii="Times New Roman" w:hAnsi="Times New Roman" w:cs="Times New Roman"/>
          <w:sz w:val="24"/>
          <w:szCs w:val="24"/>
        </w:rPr>
      </w:pPr>
      <w:r>
        <w:rPr>
          <w:rFonts w:ascii="Times New Roman" w:hAnsi="Times New Roman" w:cs="Times New Roman"/>
          <w:sz w:val="24"/>
          <w:szCs w:val="24"/>
        </w:rPr>
        <w:tab/>
        <w:t>Respondent.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B1344F" w:rsidRDefault="00B1344F" w:rsidP="00D52A7D">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w:t>
      </w:r>
    </w:p>
    <w:p w:rsidR="00B1344F" w:rsidRDefault="00B1344F" w:rsidP="00D52A7D">
      <w:pPr>
        <w:pStyle w:val="NoSpacing"/>
        <w:rPr>
          <w:rFonts w:ascii="Times New Roman" w:hAnsi="Times New Roman" w:cs="Times New Roman"/>
          <w:sz w:val="24"/>
          <w:szCs w:val="24"/>
        </w:rPr>
      </w:pPr>
      <w:r>
        <w:rPr>
          <w:rFonts w:ascii="Times New Roman" w:hAnsi="Times New Roman" w:cs="Times New Roman"/>
          <w:sz w:val="24"/>
          <w:szCs w:val="24"/>
        </w:rPr>
        <w:t>Case No. 17-1715-ULP</w:t>
      </w:r>
    </w:p>
    <w:p w:rsidR="0011588C" w:rsidRDefault="0011588C" w:rsidP="00D52A7D">
      <w:pPr>
        <w:pStyle w:val="NoSpacing"/>
        <w:rPr>
          <w:rFonts w:ascii="Times New Roman" w:hAnsi="Times New Roman" w:cs="Times New Roman"/>
          <w:sz w:val="24"/>
          <w:szCs w:val="24"/>
        </w:rPr>
      </w:pPr>
    </w:p>
    <w:p w:rsidR="0011588C" w:rsidRPr="0011588C" w:rsidRDefault="005F2B93" w:rsidP="0011588C">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DECISION AND ORDER NO. 316</w:t>
      </w:r>
    </w:p>
    <w:p w:rsidR="00B1344F" w:rsidRPr="00D52A7D" w:rsidRDefault="00B1344F" w:rsidP="00D52A7D">
      <w:pPr>
        <w:pStyle w:val="NoSpacing"/>
        <w:rPr>
          <w:rFonts w:ascii="Times New Roman" w:hAnsi="Times New Roman" w:cs="Times New Roman"/>
          <w:sz w:val="24"/>
          <w:szCs w:val="24"/>
        </w:rPr>
      </w:pPr>
    </w:p>
    <w:p w:rsidR="00B47C44" w:rsidRDefault="00B47C44" w:rsidP="009D5436">
      <w:pPr>
        <w:ind w:firstLine="720"/>
        <w:jc w:val="both"/>
        <w:rPr>
          <w:rFonts w:ascii="Times New Roman" w:hAnsi="Times New Roman" w:cs="Times New Roman"/>
          <w:sz w:val="24"/>
          <w:szCs w:val="24"/>
        </w:rPr>
      </w:pPr>
      <w:r>
        <w:rPr>
          <w:rFonts w:ascii="Times New Roman" w:hAnsi="Times New Roman" w:cs="Times New Roman"/>
          <w:sz w:val="24"/>
          <w:szCs w:val="24"/>
        </w:rPr>
        <w:t>We heard this unfair labor practice petition during a one-day hearing on October 29, 2018, in Anchorage. This case was conso</w:t>
      </w:r>
      <w:r w:rsidR="00000F06">
        <w:rPr>
          <w:rFonts w:ascii="Times New Roman" w:hAnsi="Times New Roman" w:cs="Times New Roman"/>
          <w:sz w:val="24"/>
          <w:szCs w:val="24"/>
        </w:rPr>
        <w:t>lidated with case number 17-1714</w:t>
      </w:r>
      <w:r>
        <w:rPr>
          <w:rFonts w:ascii="Times New Roman" w:hAnsi="Times New Roman" w:cs="Times New Roman"/>
          <w:sz w:val="24"/>
          <w:szCs w:val="24"/>
        </w:rPr>
        <w:t xml:space="preserve">-ULP for hearing, but separate decisions have been issued. The parties subsequently filed written closing arguments. The record closed on December 13, 2018, after completion of final deliberations. </w:t>
      </w:r>
    </w:p>
    <w:p w:rsidR="00B47C44" w:rsidRDefault="00B47C44" w:rsidP="009D5436">
      <w:pPr>
        <w:ind w:left="1440" w:hanging="1440"/>
        <w:jc w:val="both"/>
        <w:rPr>
          <w:rFonts w:ascii="Times New Roman" w:hAnsi="Times New Roman" w:cs="Times New Roman"/>
          <w:sz w:val="24"/>
          <w:szCs w:val="24"/>
        </w:rPr>
      </w:pPr>
      <w:r w:rsidRPr="00DF2BA6">
        <w:rPr>
          <w:rFonts w:ascii="Times New Roman" w:hAnsi="Times New Roman" w:cs="Times New Roman"/>
          <w:b/>
          <w:sz w:val="24"/>
          <w:szCs w:val="24"/>
        </w:rPr>
        <w:t>Digest:</w:t>
      </w:r>
      <w:r w:rsidRPr="00DF2BA6">
        <w:rPr>
          <w:rFonts w:ascii="Times New Roman" w:hAnsi="Times New Roman" w:cs="Times New Roman"/>
          <w:b/>
          <w:sz w:val="24"/>
          <w:szCs w:val="24"/>
        </w:rPr>
        <w:tab/>
      </w:r>
      <w:r>
        <w:rPr>
          <w:rFonts w:ascii="Times New Roman" w:hAnsi="Times New Roman" w:cs="Times New Roman"/>
          <w:sz w:val="24"/>
          <w:szCs w:val="24"/>
        </w:rPr>
        <w:t xml:space="preserve">The unfair labor practice filed by the Matanuska-Susitna Borough School District is granted. </w:t>
      </w:r>
      <w:r w:rsidR="00000F06">
        <w:rPr>
          <w:rFonts w:ascii="Times New Roman" w:hAnsi="Times New Roman" w:cs="Times New Roman"/>
          <w:sz w:val="24"/>
          <w:szCs w:val="24"/>
        </w:rPr>
        <w:t>Classified Employees’ Association, NEA-AK/NEA,</w:t>
      </w:r>
      <w:r>
        <w:rPr>
          <w:rFonts w:ascii="Times New Roman" w:hAnsi="Times New Roman" w:cs="Times New Roman"/>
          <w:sz w:val="24"/>
          <w:szCs w:val="24"/>
        </w:rPr>
        <w:t xml:space="preserve"> violated its duty to bargain in good faith for failure to make </w:t>
      </w:r>
      <w:r w:rsidR="002F64BA">
        <w:rPr>
          <w:rFonts w:ascii="Times New Roman" w:hAnsi="Times New Roman" w:cs="Times New Roman"/>
          <w:sz w:val="24"/>
          <w:szCs w:val="24"/>
        </w:rPr>
        <w:t>reasonable effort</w:t>
      </w:r>
      <w:r>
        <w:rPr>
          <w:rFonts w:ascii="Times New Roman" w:hAnsi="Times New Roman" w:cs="Times New Roman"/>
          <w:sz w:val="24"/>
          <w:szCs w:val="24"/>
        </w:rPr>
        <w:t xml:space="preserve"> to </w:t>
      </w:r>
      <w:r w:rsidR="00526A26">
        <w:rPr>
          <w:rFonts w:ascii="Times New Roman" w:hAnsi="Times New Roman" w:cs="Times New Roman"/>
          <w:sz w:val="24"/>
          <w:szCs w:val="24"/>
        </w:rPr>
        <w:t>obtain</w:t>
      </w:r>
      <w:r>
        <w:rPr>
          <w:rFonts w:ascii="Times New Roman" w:hAnsi="Times New Roman" w:cs="Times New Roman"/>
          <w:sz w:val="24"/>
          <w:szCs w:val="24"/>
        </w:rPr>
        <w:t xml:space="preserve"> the health claims data </w:t>
      </w:r>
      <w:r w:rsidR="00585DCA">
        <w:rPr>
          <w:rFonts w:ascii="Times New Roman" w:hAnsi="Times New Roman" w:cs="Times New Roman"/>
          <w:sz w:val="24"/>
          <w:szCs w:val="24"/>
        </w:rPr>
        <w:t>requested by the</w:t>
      </w:r>
      <w:r>
        <w:rPr>
          <w:rFonts w:ascii="Times New Roman" w:hAnsi="Times New Roman" w:cs="Times New Roman"/>
          <w:sz w:val="24"/>
          <w:szCs w:val="24"/>
        </w:rPr>
        <w:t xml:space="preserve"> District. </w:t>
      </w:r>
    </w:p>
    <w:p w:rsidR="00B47C44" w:rsidRDefault="00B47C44" w:rsidP="00B47C44">
      <w:pPr>
        <w:ind w:left="1440" w:hanging="1440"/>
        <w:jc w:val="both"/>
        <w:rPr>
          <w:rFonts w:ascii="Times New Roman" w:hAnsi="Times New Roman" w:cs="Times New Roman"/>
          <w:sz w:val="24"/>
          <w:szCs w:val="24"/>
        </w:rPr>
      </w:pPr>
      <w:r w:rsidRPr="00DF2BA6">
        <w:rPr>
          <w:rFonts w:ascii="Times New Roman" w:hAnsi="Times New Roman" w:cs="Times New Roman"/>
          <w:b/>
          <w:sz w:val="24"/>
          <w:szCs w:val="24"/>
        </w:rPr>
        <w:t>Appearances:</w:t>
      </w:r>
      <w:r>
        <w:rPr>
          <w:rFonts w:ascii="Times New Roman" w:hAnsi="Times New Roman" w:cs="Times New Roman"/>
          <w:sz w:val="24"/>
          <w:szCs w:val="24"/>
        </w:rPr>
        <w:tab/>
        <w:t xml:space="preserve">Saul Friedman, Jermain </w:t>
      </w:r>
      <w:proofErr w:type="spellStart"/>
      <w:r>
        <w:rPr>
          <w:rFonts w:ascii="Times New Roman" w:hAnsi="Times New Roman" w:cs="Times New Roman"/>
          <w:sz w:val="24"/>
          <w:szCs w:val="24"/>
        </w:rPr>
        <w:t>Dunnagan</w:t>
      </w:r>
      <w:proofErr w:type="spellEnd"/>
      <w:r>
        <w:rPr>
          <w:rFonts w:ascii="Times New Roman" w:hAnsi="Times New Roman" w:cs="Times New Roman"/>
          <w:sz w:val="24"/>
          <w:szCs w:val="24"/>
        </w:rPr>
        <w:t xml:space="preserve"> &amp; Owens, attorney for complainant Matanuska-Susitna Borough School District. Kim Dunn, </w:t>
      </w:r>
      <w:proofErr w:type="spellStart"/>
      <w:r>
        <w:rPr>
          <w:rFonts w:ascii="Times New Roman" w:hAnsi="Times New Roman" w:cs="Times New Roman"/>
          <w:sz w:val="24"/>
          <w:szCs w:val="24"/>
        </w:rPr>
        <w:t>Landye</w:t>
      </w:r>
      <w:proofErr w:type="spellEnd"/>
      <w:r>
        <w:rPr>
          <w:rFonts w:ascii="Times New Roman" w:hAnsi="Times New Roman" w:cs="Times New Roman"/>
          <w:sz w:val="24"/>
          <w:szCs w:val="24"/>
        </w:rPr>
        <w:t xml:space="preserve"> Bennett Blumstein, LLP, attorney for respondent </w:t>
      </w:r>
      <w:r w:rsidR="00B3099A">
        <w:rPr>
          <w:rFonts w:ascii="Times New Roman" w:hAnsi="Times New Roman" w:cs="Times New Roman"/>
          <w:sz w:val="24"/>
          <w:szCs w:val="24"/>
        </w:rPr>
        <w:t>Classified Employees’ Association</w:t>
      </w:r>
      <w:r>
        <w:rPr>
          <w:rFonts w:ascii="Times New Roman" w:hAnsi="Times New Roman" w:cs="Times New Roman"/>
          <w:sz w:val="24"/>
          <w:szCs w:val="24"/>
        </w:rPr>
        <w:t xml:space="preserve">, NEA-AK/NEA. </w:t>
      </w:r>
    </w:p>
    <w:p w:rsidR="00B47C44" w:rsidRDefault="00B47C44" w:rsidP="00B47C44">
      <w:pPr>
        <w:jc w:val="both"/>
        <w:rPr>
          <w:rFonts w:ascii="Times New Roman" w:hAnsi="Times New Roman" w:cs="Times New Roman"/>
          <w:sz w:val="24"/>
          <w:szCs w:val="24"/>
        </w:rPr>
      </w:pPr>
      <w:r w:rsidRPr="00DF2BA6">
        <w:rPr>
          <w:rFonts w:ascii="Times New Roman" w:hAnsi="Times New Roman" w:cs="Times New Roman"/>
          <w:b/>
          <w:sz w:val="24"/>
          <w:szCs w:val="24"/>
        </w:rPr>
        <w:t>Board Panel:</w:t>
      </w:r>
      <w:r>
        <w:rPr>
          <w:rFonts w:ascii="Times New Roman" w:hAnsi="Times New Roman" w:cs="Times New Roman"/>
          <w:sz w:val="24"/>
          <w:szCs w:val="24"/>
        </w:rPr>
        <w:t xml:space="preserve"> </w:t>
      </w:r>
      <w:r>
        <w:rPr>
          <w:rFonts w:ascii="Times New Roman" w:hAnsi="Times New Roman" w:cs="Times New Roman"/>
          <w:sz w:val="24"/>
          <w:szCs w:val="24"/>
        </w:rPr>
        <w:tab/>
        <w:t xml:space="preserve">Lee </w:t>
      </w:r>
      <w:proofErr w:type="spellStart"/>
      <w:r>
        <w:rPr>
          <w:rFonts w:ascii="Times New Roman" w:hAnsi="Times New Roman" w:cs="Times New Roman"/>
          <w:sz w:val="24"/>
          <w:szCs w:val="24"/>
        </w:rPr>
        <w:t>Holen</w:t>
      </w:r>
      <w:proofErr w:type="spellEnd"/>
      <w:r>
        <w:rPr>
          <w:rFonts w:ascii="Times New Roman" w:hAnsi="Times New Roman" w:cs="Times New Roman"/>
          <w:sz w:val="24"/>
          <w:szCs w:val="24"/>
        </w:rPr>
        <w:t xml:space="preserve">, Vice Chair; Matthew </w:t>
      </w:r>
      <w:proofErr w:type="spellStart"/>
      <w:r>
        <w:rPr>
          <w:rFonts w:ascii="Times New Roman" w:hAnsi="Times New Roman" w:cs="Times New Roman"/>
          <w:sz w:val="24"/>
          <w:szCs w:val="24"/>
        </w:rPr>
        <w:t>McSorley</w:t>
      </w:r>
      <w:proofErr w:type="spellEnd"/>
      <w:r>
        <w:rPr>
          <w:rFonts w:ascii="Times New Roman" w:hAnsi="Times New Roman" w:cs="Times New Roman"/>
          <w:sz w:val="24"/>
          <w:szCs w:val="24"/>
        </w:rPr>
        <w:t xml:space="preserve"> and Tyler Andrews, Board Members. </w:t>
      </w:r>
    </w:p>
    <w:p w:rsidR="00B47C44" w:rsidRPr="0010100C" w:rsidRDefault="00B47C44" w:rsidP="00B47C44">
      <w:pPr>
        <w:jc w:val="center"/>
        <w:rPr>
          <w:rFonts w:ascii="Times New Roman" w:hAnsi="Times New Roman" w:cs="Times New Roman"/>
          <w:b/>
          <w:sz w:val="24"/>
          <w:szCs w:val="24"/>
        </w:rPr>
      </w:pPr>
      <w:r w:rsidRPr="0010100C">
        <w:rPr>
          <w:rFonts w:ascii="Times New Roman" w:hAnsi="Times New Roman" w:cs="Times New Roman"/>
          <w:b/>
          <w:sz w:val="24"/>
          <w:szCs w:val="24"/>
        </w:rPr>
        <w:t>DECISION</w:t>
      </w:r>
    </w:p>
    <w:p w:rsidR="00B47C44" w:rsidRDefault="00B47C44" w:rsidP="00B47C44">
      <w:pPr>
        <w:pStyle w:val="ListParagraph"/>
        <w:numPr>
          <w:ilvl w:val="0"/>
          <w:numId w:val="1"/>
        </w:numPr>
        <w:ind w:left="720"/>
        <w:rPr>
          <w:rFonts w:ascii="Times New Roman" w:hAnsi="Times New Roman" w:cs="Times New Roman"/>
          <w:b/>
          <w:sz w:val="24"/>
          <w:szCs w:val="24"/>
        </w:rPr>
      </w:pPr>
      <w:r>
        <w:rPr>
          <w:rFonts w:ascii="Times New Roman" w:hAnsi="Times New Roman" w:cs="Times New Roman"/>
          <w:b/>
          <w:sz w:val="24"/>
          <w:szCs w:val="24"/>
        </w:rPr>
        <w:t>INTRODUCTION</w:t>
      </w:r>
    </w:p>
    <w:p w:rsidR="00B47C44" w:rsidRDefault="00B47C44" w:rsidP="008C54AE">
      <w:pPr>
        <w:ind w:firstLine="720"/>
        <w:jc w:val="both"/>
        <w:rPr>
          <w:rFonts w:ascii="Times New Roman" w:hAnsi="Times New Roman" w:cs="Times New Roman"/>
          <w:sz w:val="24"/>
          <w:szCs w:val="24"/>
        </w:rPr>
      </w:pPr>
      <w:r>
        <w:rPr>
          <w:rFonts w:ascii="Times New Roman" w:hAnsi="Times New Roman" w:cs="Times New Roman"/>
          <w:sz w:val="24"/>
          <w:szCs w:val="24"/>
        </w:rPr>
        <w:t xml:space="preserve">The parties’ dispute arose during bargaining, when Matanuska-Susitna Borough School District (the District) requested health claims data from </w:t>
      </w:r>
      <w:r w:rsidR="00000F06">
        <w:rPr>
          <w:rFonts w:ascii="Times New Roman" w:hAnsi="Times New Roman" w:cs="Times New Roman"/>
          <w:sz w:val="24"/>
          <w:szCs w:val="24"/>
        </w:rPr>
        <w:t xml:space="preserve">Classified Employees’ Association, NEA/NEA-AK, </w:t>
      </w:r>
      <w:proofErr w:type="gramStart"/>
      <w:r w:rsidR="00000F06">
        <w:rPr>
          <w:rFonts w:ascii="Times New Roman" w:hAnsi="Times New Roman" w:cs="Times New Roman"/>
          <w:sz w:val="24"/>
          <w:szCs w:val="24"/>
        </w:rPr>
        <w:t>(</w:t>
      </w:r>
      <w:proofErr w:type="gramEnd"/>
      <w:r w:rsidR="00000F06">
        <w:rPr>
          <w:rFonts w:ascii="Times New Roman" w:hAnsi="Times New Roman" w:cs="Times New Roman"/>
          <w:sz w:val="24"/>
          <w:szCs w:val="24"/>
        </w:rPr>
        <w:t xml:space="preserve">CEA). </w:t>
      </w:r>
      <w:r>
        <w:rPr>
          <w:rFonts w:ascii="Times New Roman" w:hAnsi="Times New Roman" w:cs="Times New Roman"/>
          <w:sz w:val="24"/>
          <w:szCs w:val="24"/>
        </w:rPr>
        <w:t xml:space="preserve">The District asserts that </w:t>
      </w:r>
      <w:r w:rsidR="00E32CC0">
        <w:rPr>
          <w:rFonts w:ascii="Times New Roman" w:hAnsi="Times New Roman" w:cs="Times New Roman"/>
          <w:sz w:val="24"/>
          <w:szCs w:val="24"/>
        </w:rPr>
        <w:t>CEA</w:t>
      </w:r>
      <w:r>
        <w:rPr>
          <w:rFonts w:ascii="Times New Roman" w:hAnsi="Times New Roman" w:cs="Times New Roman"/>
          <w:sz w:val="24"/>
          <w:szCs w:val="24"/>
        </w:rPr>
        <w:t xml:space="preserve"> committed an unfair labor practice by refusing to bargain in good faith when it failed to supply the District with health claims and cost information from its insurer, the Public Education Health Trust (the Trust). </w:t>
      </w:r>
    </w:p>
    <w:p w:rsidR="00B47C44" w:rsidRDefault="00E32CC0" w:rsidP="008C54AE">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CEA</w:t>
      </w:r>
      <w:r w:rsidR="00B47C44">
        <w:rPr>
          <w:rFonts w:ascii="Times New Roman" w:hAnsi="Times New Roman" w:cs="Times New Roman"/>
          <w:sz w:val="24"/>
          <w:szCs w:val="24"/>
        </w:rPr>
        <w:t xml:space="preserve"> argues that because it was not in control of the information that the District sought, it was under no obligation to provide the information.</w:t>
      </w:r>
    </w:p>
    <w:p w:rsidR="00B47C44" w:rsidRPr="00DB00FD" w:rsidRDefault="001C29AD" w:rsidP="008C54AE">
      <w:pPr>
        <w:ind w:firstLine="720"/>
        <w:jc w:val="both"/>
        <w:rPr>
          <w:rFonts w:ascii="Times New Roman" w:hAnsi="Times New Roman" w:cs="Times New Roman"/>
          <w:sz w:val="24"/>
          <w:szCs w:val="24"/>
        </w:rPr>
      </w:pPr>
      <w:r>
        <w:rPr>
          <w:rFonts w:ascii="Times New Roman" w:hAnsi="Times New Roman" w:cs="Times New Roman"/>
          <w:sz w:val="24"/>
          <w:szCs w:val="24"/>
        </w:rPr>
        <w:t xml:space="preserve">The question </w:t>
      </w:r>
      <w:r w:rsidR="00B47C44">
        <w:rPr>
          <w:rFonts w:ascii="Times New Roman" w:hAnsi="Times New Roman" w:cs="Times New Roman"/>
          <w:sz w:val="24"/>
          <w:szCs w:val="24"/>
        </w:rPr>
        <w:t xml:space="preserve">the </w:t>
      </w:r>
      <w:r>
        <w:rPr>
          <w:rFonts w:ascii="Times New Roman" w:hAnsi="Times New Roman" w:cs="Times New Roman"/>
          <w:sz w:val="24"/>
          <w:szCs w:val="24"/>
        </w:rPr>
        <w:t xml:space="preserve">board was asked to </w:t>
      </w:r>
      <w:r w:rsidR="006B6905">
        <w:rPr>
          <w:rFonts w:ascii="Times New Roman" w:hAnsi="Times New Roman" w:cs="Times New Roman"/>
          <w:sz w:val="24"/>
          <w:szCs w:val="24"/>
        </w:rPr>
        <w:t xml:space="preserve">resolve is whether CEA </w:t>
      </w:r>
      <w:r w:rsidR="00B47C44">
        <w:rPr>
          <w:rFonts w:ascii="Times New Roman" w:hAnsi="Times New Roman" w:cs="Times New Roman"/>
          <w:sz w:val="24"/>
          <w:szCs w:val="24"/>
        </w:rPr>
        <w:t>has the authority to obtain the requested healthcare information and whether it is part of their duty to bargain in good faith to obtain the information for the District and to provide it to the Di</w:t>
      </w:r>
      <w:r w:rsidR="006B6905">
        <w:rPr>
          <w:rFonts w:ascii="Times New Roman" w:hAnsi="Times New Roman" w:cs="Times New Roman"/>
          <w:sz w:val="24"/>
          <w:szCs w:val="24"/>
        </w:rPr>
        <w:t xml:space="preserve">strict. Because </w:t>
      </w:r>
      <w:r>
        <w:rPr>
          <w:rFonts w:ascii="Times New Roman" w:hAnsi="Times New Roman" w:cs="Times New Roman"/>
          <w:sz w:val="24"/>
          <w:szCs w:val="24"/>
        </w:rPr>
        <w:t xml:space="preserve">the board determined that </w:t>
      </w:r>
      <w:r w:rsidR="006B6905">
        <w:rPr>
          <w:rFonts w:ascii="Times New Roman" w:hAnsi="Times New Roman" w:cs="Times New Roman"/>
          <w:sz w:val="24"/>
          <w:szCs w:val="24"/>
        </w:rPr>
        <w:t>CEA</w:t>
      </w:r>
      <w:r w:rsidR="00B47C44">
        <w:rPr>
          <w:rFonts w:ascii="Times New Roman" w:hAnsi="Times New Roman" w:cs="Times New Roman"/>
          <w:sz w:val="24"/>
          <w:szCs w:val="24"/>
        </w:rPr>
        <w:t xml:space="preserve"> </w:t>
      </w:r>
      <w:r>
        <w:rPr>
          <w:rFonts w:ascii="Times New Roman" w:hAnsi="Times New Roman" w:cs="Times New Roman"/>
          <w:sz w:val="24"/>
          <w:szCs w:val="24"/>
        </w:rPr>
        <w:t xml:space="preserve">committed an unfair labor practice for </w:t>
      </w:r>
      <w:r w:rsidR="00AE47F8">
        <w:rPr>
          <w:rFonts w:ascii="Times New Roman" w:hAnsi="Times New Roman" w:cs="Times New Roman"/>
          <w:sz w:val="24"/>
          <w:szCs w:val="24"/>
        </w:rPr>
        <w:t xml:space="preserve">its failure to take reasonable </w:t>
      </w:r>
      <w:r>
        <w:rPr>
          <w:rFonts w:ascii="Times New Roman" w:hAnsi="Times New Roman" w:cs="Times New Roman"/>
          <w:sz w:val="24"/>
          <w:szCs w:val="24"/>
        </w:rPr>
        <w:t>steps to obtain the claims data and other information, th</w:t>
      </w:r>
      <w:r w:rsidR="002F7C87">
        <w:rPr>
          <w:rFonts w:ascii="Times New Roman" w:hAnsi="Times New Roman" w:cs="Times New Roman"/>
          <w:sz w:val="24"/>
          <w:szCs w:val="24"/>
        </w:rPr>
        <w:t>e board does</w:t>
      </w:r>
      <w:r>
        <w:rPr>
          <w:rFonts w:ascii="Times New Roman" w:hAnsi="Times New Roman" w:cs="Times New Roman"/>
          <w:sz w:val="24"/>
          <w:szCs w:val="24"/>
        </w:rPr>
        <w:t xml:space="preserve"> not answer the question of whether CEA has a duty to actually obtain and provide the information to the District.</w:t>
      </w:r>
    </w:p>
    <w:p w:rsidR="00B47C44" w:rsidRDefault="00B47C44" w:rsidP="00B47C44">
      <w:pPr>
        <w:pStyle w:val="ListParagraph"/>
        <w:numPr>
          <w:ilvl w:val="0"/>
          <w:numId w:val="1"/>
        </w:numPr>
        <w:ind w:left="720"/>
        <w:rPr>
          <w:rFonts w:ascii="Times New Roman" w:hAnsi="Times New Roman" w:cs="Times New Roman"/>
          <w:b/>
          <w:sz w:val="24"/>
          <w:szCs w:val="24"/>
        </w:rPr>
      </w:pPr>
      <w:r>
        <w:rPr>
          <w:rFonts w:ascii="Times New Roman" w:hAnsi="Times New Roman" w:cs="Times New Roman"/>
          <w:b/>
          <w:sz w:val="24"/>
          <w:szCs w:val="24"/>
        </w:rPr>
        <w:t>FACTS</w:t>
      </w:r>
    </w:p>
    <w:p w:rsidR="00B47C44" w:rsidRDefault="00B47C44" w:rsidP="00B47C44">
      <w:pPr>
        <w:ind w:firstLine="720"/>
        <w:jc w:val="both"/>
        <w:rPr>
          <w:rFonts w:ascii="Times New Roman" w:hAnsi="Times New Roman" w:cs="Times New Roman"/>
          <w:sz w:val="24"/>
          <w:szCs w:val="24"/>
        </w:rPr>
      </w:pPr>
      <w:r>
        <w:rPr>
          <w:rFonts w:ascii="Times New Roman" w:hAnsi="Times New Roman" w:cs="Times New Roman"/>
          <w:sz w:val="24"/>
          <w:szCs w:val="24"/>
        </w:rPr>
        <w:t>M</w:t>
      </w:r>
      <w:r w:rsidR="009D5125">
        <w:rPr>
          <w:rFonts w:ascii="Times New Roman" w:hAnsi="Times New Roman" w:cs="Times New Roman"/>
          <w:sz w:val="24"/>
          <w:szCs w:val="24"/>
        </w:rPr>
        <w:t>atanuska-Susitna Education Association (MSEA)</w:t>
      </w:r>
      <w:r>
        <w:rPr>
          <w:rFonts w:ascii="Times New Roman" w:hAnsi="Times New Roman" w:cs="Times New Roman"/>
          <w:sz w:val="24"/>
          <w:szCs w:val="24"/>
        </w:rPr>
        <w:t xml:space="preserve"> and CEA, with the help of their affiliate NEA-Alaska were bargaining over their collective bargaining agreements with the District during the spring of 2017.</w:t>
      </w:r>
      <w:r w:rsidR="00212FE6">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In preparation for negotiations the District had hired Segal Consulting to conduct a pricing exercise to determine whether the District would pursue self-insuring.</w:t>
      </w:r>
      <w:r w:rsidR="00195A20">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On behalf of the District, Segal requested health claims data from the MSEA and CEA. As the Associations spent time determining how to respond to the request, the District initiated this unfair labor practice to resolve the issues the request presented.</w:t>
      </w:r>
    </w:p>
    <w:p w:rsidR="00B47C44" w:rsidRDefault="00B47C44" w:rsidP="00B47C44">
      <w:pPr>
        <w:ind w:firstLine="720"/>
        <w:jc w:val="both"/>
        <w:rPr>
          <w:rFonts w:ascii="Times New Roman" w:hAnsi="Times New Roman" w:cs="Times New Roman"/>
          <w:sz w:val="24"/>
          <w:szCs w:val="24"/>
        </w:rPr>
      </w:pPr>
      <w:r w:rsidRPr="00F33714">
        <w:rPr>
          <w:rFonts w:ascii="Times New Roman" w:hAnsi="Times New Roman" w:cs="Times New Roman"/>
          <w:sz w:val="24"/>
          <w:szCs w:val="24"/>
        </w:rPr>
        <w:t>A. Trust Structure</w:t>
      </w:r>
      <w:r>
        <w:rPr>
          <w:rFonts w:ascii="Times New Roman" w:hAnsi="Times New Roman" w:cs="Times New Roman"/>
          <w:sz w:val="24"/>
          <w:szCs w:val="24"/>
        </w:rPr>
        <w:t xml:space="preserve"> </w:t>
      </w:r>
    </w:p>
    <w:p w:rsidR="00B47C44" w:rsidRDefault="00F33714" w:rsidP="00B47C44">
      <w:pPr>
        <w:ind w:firstLine="720"/>
        <w:jc w:val="both"/>
        <w:rPr>
          <w:rFonts w:ascii="Times New Roman" w:hAnsi="Times New Roman" w:cs="Times New Roman"/>
          <w:sz w:val="24"/>
          <w:szCs w:val="24"/>
        </w:rPr>
      </w:pPr>
      <w:r>
        <w:rPr>
          <w:rFonts w:ascii="Times New Roman" w:hAnsi="Times New Roman" w:cs="Times New Roman"/>
          <w:sz w:val="24"/>
          <w:szCs w:val="24"/>
        </w:rPr>
        <w:t>Bargaining unit members of C</w:t>
      </w:r>
      <w:r w:rsidR="00B47C44">
        <w:rPr>
          <w:rFonts w:ascii="Times New Roman" w:hAnsi="Times New Roman" w:cs="Times New Roman"/>
          <w:sz w:val="24"/>
          <w:szCs w:val="24"/>
        </w:rPr>
        <w:t>EA receive health benefits through the Trust, an IRS-recognized health benefits provider that provides benefits exclusively to government employees.</w:t>
      </w:r>
      <w:r w:rsidR="00B47C44">
        <w:rPr>
          <w:rStyle w:val="FootnoteReference"/>
          <w:rFonts w:ascii="Times New Roman" w:hAnsi="Times New Roman" w:cs="Times New Roman"/>
          <w:sz w:val="24"/>
          <w:szCs w:val="24"/>
        </w:rPr>
        <w:footnoteReference w:id="3"/>
      </w:r>
      <w:r w:rsidR="00B47C44">
        <w:rPr>
          <w:rFonts w:ascii="Times New Roman" w:hAnsi="Times New Roman" w:cs="Times New Roman"/>
          <w:sz w:val="24"/>
          <w:szCs w:val="24"/>
        </w:rPr>
        <w:t xml:space="preserve"> The Trust is a Voluntary Employee Benefits Association or “VEBA” overseen by a seven-member board.</w:t>
      </w:r>
      <w:r w:rsidR="00B47C44">
        <w:rPr>
          <w:rStyle w:val="FootnoteReference"/>
          <w:rFonts w:ascii="Times New Roman" w:hAnsi="Times New Roman" w:cs="Times New Roman"/>
          <w:sz w:val="24"/>
          <w:szCs w:val="24"/>
        </w:rPr>
        <w:footnoteReference w:id="4"/>
      </w:r>
      <w:r w:rsidR="00B47C44">
        <w:rPr>
          <w:rFonts w:ascii="Times New Roman" w:hAnsi="Times New Roman" w:cs="Times New Roman"/>
          <w:sz w:val="24"/>
          <w:szCs w:val="24"/>
        </w:rPr>
        <w:t xml:space="preserve"> Public Education Health Trust and NEA-Alaska are two separate entities.</w:t>
      </w:r>
      <w:r w:rsidR="00B47C44">
        <w:rPr>
          <w:rStyle w:val="FootnoteReference"/>
          <w:rFonts w:ascii="Times New Roman" w:hAnsi="Times New Roman" w:cs="Times New Roman"/>
          <w:sz w:val="24"/>
          <w:szCs w:val="24"/>
        </w:rPr>
        <w:footnoteReference w:id="5"/>
      </w:r>
      <w:r w:rsidR="00B47C44">
        <w:rPr>
          <w:rFonts w:ascii="Times New Roman" w:hAnsi="Times New Roman" w:cs="Times New Roman"/>
          <w:sz w:val="24"/>
          <w:szCs w:val="24"/>
        </w:rPr>
        <w:t xml:space="preserve"> In 2013, the Trust changed its name from NEA-Alaska Health Plan to Public Education Health Trust to draw that distinction and eliminate confusion.</w:t>
      </w:r>
      <w:r w:rsidR="00B47C44">
        <w:rPr>
          <w:rStyle w:val="FootnoteReference"/>
          <w:rFonts w:ascii="Times New Roman" w:hAnsi="Times New Roman" w:cs="Times New Roman"/>
          <w:sz w:val="24"/>
          <w:szCs w:val="24"/>
        </w:rPr>
        <w:footnoteReference w:id="6"/>
      </w:r>
      <w:r w:rsidR="00B47C44">
        <w:rPr>
          <w:rFonts w:ascii="Times New Roman" w:hAnsi="Times New Roman" w:cs="Times New Roman"/>
          <w:sz w:val="24"/>
          <w:szCs w:val="24"/>
        </w:rPr>
        <w:t xml:space="preserve"> During the timeframe that these unfair labor practice allegations occurred, NEA-Alaska was the plan sponsor and it had the authority to hire and fire the Plan Administrator.</w:t>
      </w:r>
      <w:r w:rsidR="00B47C44">
        <w:rPr>
          <w:rStyle w:val="FootnoteReference"/>
          <w:rFonts w:ascii="Times New Roman" w:hAnsi="Times New Roman" w:cs="Times New Roman"/>
          <w:sz w:val="24"/>
          <w:szCs w:val="24"/>
        </w:rPr>
        <w:footnoteReference w:id="7"/>
      </w:r>
      <w:r w:rsidR="00B47C44">
        <w:rPr>
          <w:rFonts w:ascii="Times New Roman" w:hAnsi="Times New Roman" w:cs="Times New Roman"/>
          <w:sz w:val="24"/>
          <w:szCs w:val="24"/>
        </w:rPr>
        <w:t xml:space="preserve"> The plan sponsor is also a fiduciary of the Trust; thus, it must ensure that</w:t>
      </w:r>
      <w:r w:rsidR="00B47C44" w:rsidRPr="00D14F68">
        <w:rPr>
          <w:rFonts w:ascii="Times New Roman" w:hAnsi="Times New Roman" w:cs="Times New Roman"/>
          <w:sz w:val="24"/>
          <w:szCs w:val="24"/>
        </w:rPr>
        <w:t xml:space="preserve"> </w:t>
      </w:r>
      <w:r w:rsidR="00B47C44" w:rsidRPr="0058510D">
        <w:rPr>
          <w:rFonts w:ascii="Times New Roman" w:hAnsi="Times New Roman" w:cs="Times New Roman"/>
          <w:sz w:val="24"/>
          <w:szCs w:val="24"/>
        </w:rPr>
        <w:t>there are sufficie</w:t>
      </w:r>
      <w:r w:rsidR="00B47C44">
        <w:rPr>
          <w:rFonts w:ascii="Times New Roman" w:hAnsi="Times New Roman" w:cs="Times New Roman"/>
          <w:sz w:val="24"/>
          <w:szCs w:val="24"/>
        </w:rPr>
        <w:t>nt funds to pay the Trust obligations.</w:t>
      </w:r>
      <w:r w:rsidR="00B47C44">
        <w:rPr>
          <w:rStyle w:val="FootnoteReference"/>
          <w:rFonts w:ascii="Times New Roman" w:hAnsi="Times New Roman" w:cs="Times New Roman"/>
          <w:sz w:val="24"/>
          <w:szCs w:val="24"/>
        </w:rPr>
        <w:footnoteReference w:id="8"/>
      </w:r>
      <w:r w:rsidR="00B47C44">
        <w:rPr>
          <w:rFonts w:ascii="Times New Roman" w:hAnsi="Times New Roman" w:cs="Times New Roman"/>
          <w:sz w:val="24"/>
          <w:szCs w:val="24"/>
        </w:rPr>
        <w:t xml:space="preserve"> </w:t>
      </w:r>
    </w:p>
    <w:p w:rsidR="00B47C44" w:rsidRDefault="00B47C44" w:rsidP="00B47C44">
      <w:pPr>
        <w:ind w:firstLine="720"/>
        <w:jc w:val="both"/>
        <w:rPr>
          <w:rFonts w:ascii="Times New Roman" w:hAnsi="Times New Roman" w:cs="Times New Roman"/>
          <w:sz w:val="24"/>
          <w:szCs w:val="24"/>
        </w:rPr>
      </w:pPr>
      <w:r>
        <w:rPr>
          <w:rFonts w:ascii="Times New Roman" w:hAnsi="Times New Roman" w:cs="Times New Roman"/>
          <w:sz w:val="24"/>
          <w:szCs w:val="24"/>
        </w:rPr>
        <w:t>Beginning in 2016, plan sponsorship was transferred from NEA-Alaska to the Public Education Health Trust, effective in 2018.</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Rhonda </w:t>
      </w:r>
      <w:proofErr w:type="spellStart"/>
      <w:r>
        <w:rPr>
          <w:rFonts w:ascii="Times New Roman" w:hAnsi="Times New Roman" w:cs="Times New Roman"/>
          <w:sz w:val="24"/>
          <w:szCs w:val="24"/>
        </w:rPr>
        <w:t>Kitter</w:t>
      </w:r>
      <w:proofErr w:type="spellEnd"/>
      <w:r>
        <w:rPr>
          <w:rFonts w:ascii="Times New Roman" w:hAnsi="Times New Roman" w:cs="Times New Roman"/>
          <w:sz w:val="24"/>
          <w:szCs w:val="24"/>
        </w:rPr>
        <w:t xml:space="preserve"> is the plan administrator and chief financial officer of the Public Education Health Trust.</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w:t>
      </w:r>
      <w:proofErr w:type="spellStart"/>
      <w:r>
        <w:rPr>
          <w:rFonts w:ascii="Times New Roman" w:hAnsi="Times New Roman" w:cs="Times New Roman"/>
          <w:sz w:val="24"/>
          <w:szCs w:val="24"/>
        </w:rPr>
        <w:t>Kitter</w:t>
      </w:r>
      <w:proofErr w:type="spellEnd"/>
      <w:r>
        <w:rPr>
          <w:rFonts w:ascii="Times New Roman" w:hAnsi="Times New Roman" w:cs="Times New Roman"/>
          <w:sz w:val="24"/>
          <w:szCs w:val="24"/>
        </w:rPr>
        <w:t xml:space="preserve"> testified that despite that apparent authority she never reported to NEA</w:t>
      </w:r>
      <w:r w:rsidR="008C40EB">
        <w:rPr>
          <w:rFonts w:ascii="Times New Roman" w:hAnsi="Times New Roman" w:cs="Times New Roman"/>
          <w:sz w:val="24"/>
          <w:szCs w:val="24"/>
        </w:rPr>
        <w:t>-Alaska</w:t>
      </w:r>
      <w:r>
        <w:rPr>
          <w:rFonts w:ascii="Times New Roman" w:hAnsi="Times New Roman" w:cs="Times New Roman"/>
          <w:sz w:val="24"/>
          <w:szCs w:val="24"/>
        </w:rPr>
        <w:t xml:space="preserve"> and it was always distinct from the Trust.</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w:t>
      </w:r>
    </w:p>
    <w:p w:rsidR="00B47C44" w:rsidRDefault="00B47C44" w:rsidP="00B47C44">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At the time of the District’s request, the Trust was structured such that the Chair of the Trust was the president of NEA-Alaska’s board of directors, the vice president of NEA-Alaska was the secretary and treasurer of the Trust.</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The president and vice president appointed a third trustee who was required to be either a member</w:t>
      </w:r>
      <w:r w:rsidR="008C40EB">
        <w:rPr>
          <w:rFonts w:ascii="Times New Roman" w:hAnsi="Times New Roman" w:cs="Times New Roman"/>
          <w:sz w:val="24"/>
          <w:szCs w:val="24"/>
        </w:rPr>
        <w:t xml:space="preserve"> or employee</w:t>
      </w:r>
      <w:r>
        <w:rPr>
          <w:rFonts w:ascii="Times New Roman" w:hAnsi="Times New Roman" w:cs="Times New Roman"/>
          <w:sz w:val="24"/>
          <w:szCs w:val="24"/>
        </w:rPr>
        <w:t xml:space="preserve"> of NEA-Alaska</w:t>
      </w:r>
      <w:r w:rsidR="008C40EB">
        <w:rPr>
          <w:rFonts w:ascii="Times New Roman" w:hAnsi="Times New Roman" w:cs="Times New Roman"/>
          <w:sz w:val="24"/>
          <w:szCs w:val="24"/>
        </w:rPr>
        <w:t>,</w:t>
      </w:r>
      <w:r>
        <w:rPr>
          <w:rFonts w:ascii="Times New Roman" w:hAnsi="Times New Roman" w:cs="Times New Roman"/>
          <w:sz w:val="24"/>
          <w:szCs w:val="24"/>
        </w:rPr>
        <w:t xml:space="preserve"> a</w:t>
      </w:r>
      <w:r w:rsidR="007F2BA6">
        <w:rPr>
          <w:rFonts w:ascii="Times New Roman" w:hAnsi="Times New Roman" w:cs="Times New Roman"/>
          <w:sz w:val="24"/>
          <w:szCs w:val="24"/>
        </w:rPr>
        <w:t>nd a participant in one of the T</w:t>
      </w:r>
      <w:r>
        <w:rPr>
          <w:rFonts w:ascii="Times New Roman" w:hAnsi="Times New Roman" w:cs="Times New Roman"/>
          <w:sz w:val="24"/>
          <w:szCs w:val="24"/>
        </w:rPr>
        <w:t>rust’s health insurance programs.</w:t>
      </w:r>
      <w:r w:rsidR="00483A3B">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The remaining four board members </w:t>
      </w:r>
      <w:r w:rsidR="004A001E">
        <w:rPr>
          <w:rFonts w:ascii="Times New Roman" w:hAnsi="Times New Roman" w:cs="Times New Roman"/>
          <w:sz w:val="24"/>
          <w:szCs w:val="24"/>
        </w:rPr>
        <w:t>had to be elected by</w:t>
      </w:r>
      <w:r>
        <w:rPr>
          <w:rFonts w:ascii="Times New Roman" w:hAnsi="Times New Roman" w:cs="Times New Roman"/>
          <w:sz w:val="24"/>
          <w:szCs w:val="24"/>
        </w:rPr>
        <w:t xml:space="preserve"> all members of the trust and be an NEA-Alaska member or a participating local bargaining unit </w:t>
      </w:r>
      <w:r w:rsidR="008D77EA">
        <w:rPr>
          <w:rFonts w:ascii="Times New Roman" w:hAnsi="Times New Roman" w:cs="Times New Roman"/>
          <w:sz w:val="24"/>
          <w:szCs w:val="24"/>
        </w:rPr>
        <w:t xml:space="preserve">member </w:t>
      </w:r>
      <w:r>
        <w:rPr>
          <w:rFonts w:ascii="Times New Roman" w:hAnsi="Times New Roman" w:cs="Times New Roman"/>
          <w:sz w:val="24"/>
          <w:szCs w:val="24"/>
        </w:rPr>
        <w:t>and a participating member of the Trust.</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w:t>
      </w:r>
    </w:p>
    <w:p w:rsidR="00B47C44" w:rsidRDefault="00B47C44" w:rsidP="00B47C44">
      <w:pPr>
        <w:ind w:firstLine="720"/>
        <w:jc w:val="both"/>
        <w:rPr>
          <w:rFonts w:ascii="Times New Roman" w:hAnsi="Times New Roman" w:cs="Times New Roman"/>
          <w:sz w:val="24"/>
          <w:szCs w:val="24"/>
        </w:rPr>
      </w:pPr>
      <w:r>
        <w:rPr>
          <w:rFonts w:ascii="Times New Roman" w:hAnsi="Times New Roman" w:cs="Times New Roman"/>
          <w:sz w:val="24"/>
          <w:szCs w:val="24"/>
        </w:rPr>
        <w:t>The Trust provides data to the school districts by plan design.</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 xml:space="preserve"> The Trust contracts out to </w:t>
      </w:r>
      <w:r w:rsidR="00B00135">
        <w:rPr>
          <w:rFonts w:ascii="Times New Roman" w:hAnsi="Times New Roman" w:cs="Times New Roman"/>
          <w:sz w:val="24"/>
          <w:szCs w:val="24"/>
        </w:rPr>
        <w:t xml:space="preserve">its consultant, </w:t>
      </w:r>
      <w:r>
        <w:rPr>
          <w:rFonts w:ascii="Times New Roman" w:hAnsi="Times New Roman" w:cs="Times New Roman"/>
          <w:sz w:val="24"/>
          <w:szCs w:val="24"/>
        </w:rPr>
        <w:t>Employee Benefit Management Services, their third party administrator, who provides the Trust with rate recommendations including recommendations for stop-loss coverage, and it has access to all of the trust’s entire claims data, benefit structures, benefit plan designs, census data information, and stop-loss policy limits so that the consultant can make recommendations to the Trust on premium structures for the Trust’s clients.</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w:t>
      </w:r>
    </w:p>
    <w:p w:rsidR="00B47C44" w:rsidRDefault="00B47C44" w:rsidP="00B47C44">
      <w:pPr>
        <w:ind w:firstLine="720"/>
        <w:jc w:val="both"/>
        <w:rPr>
          <w:rFonts w:ascii="Times New Roman" w:hAnsi="Times New Roman" w:cs="Times New Roman"/>
          <w:sz w:val="24"/>
          <w:szCs w:val="24"/>
        </w:rPr>
      </w:pPr>
      <w:r>
        <w:rPr>
          <w:rFonts w:ascii="Times New Roman" w:hAnsi="Times New Roman" w:cs="Times New Roman"/>
          <w:sz w:val="24"/>
          <w:szCs w:val="24"/>
        </w:rPr>
        <w:t>Only the trustees and employees of the Trust see information from the consultant.</w:t>
      </w:r>
      <w:r>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w:t>
      </w:r>
      <w:proofErr w:type="spellStart"/>
      <w:r>
        <w:rPr>
          <w:rFonts w:ascii="Times New Roman" w:hAnsi="Times New Roman" w:cs="Times New Roman"/>
          <w:sz w:val="24"/>
          <w:szCs w:val="24"/>
        </w:rPr>
        <w:t>Kitter</w:t>
      </w:r>
      <w:proofErr w:type="spellEnd"/>
      <w:r>
        <w:rPr>
          <w:rFonts w:ascii="Times New Roman" w:hAnsi="Times New Roman" w:cs="Times New Roman"/>
          <w:sz w:val="24"/>
          <w:szCs w:val="24"/>
        </w:rPr>
        <w:t xml:space="preserve"> testified at the hearing that NEA-Alaska does not have access to claims data and she is not aware that the issue of NEA-Alaska accessing the claims data has ever been discussed.</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Although there is no w</w:t>
      </w:r>
      <w:r w:rsidR="004901A1">
        <w:rPr>
          <w:rFonts w:ascii="Times New Roman" w:hAnsi="Times New Roman" w:cs="Times New Roman"/>
          <w:sz w:val="24"/>
          <w:szCs w:val="24"/>
        </w:rPr>
        <w:t>ritten policy in place which state</w:t>
      </w:r>
      <w:r>
        <w:rPr>
          <w:rFonts w:ascii="Times New Roman" w:hAnsi="Times New Roman" w:cs="Times New Roman"/>
          <w:sz w:val="24"/>
          <w:szCs w:val="24"/>
        </w:rPr>
        <w:t>s</w:t>
      </w:r>
      <w:r w:rsidR="004901A1">
        <w:rPr>
          <w:rFonts w:ascii="Times New Roman" w:hAnsi="Times New Roman" w:cs="Times New Roman"/>
          <w:sz w:val="24"/>
          <w:szCs w:val="24"/>
        </w:rPr>
        <w:t xml:space="preserve"> whether</w:t>
      </w:r>
      <w:r>
        <w:rPr>
          <w:rFonts w:ascii="Times New Roman" w:hAnsi="Times New Roman" w:cs="Times New Roman"/>
          <w:sz w:val="24"/>
          <w:szCs w:val="24"/>
        </w:rPr>
        <w:t xml:space="preserve"> the information is to be reviewed by NEA-Alaska, it is </w:t>
      </w:r>
      <w:proofErr w:type="spellStart"/>
      <w:r>
        <w:rPr>
          <w:rFonts w:ascii="Times New Roman" w:hAnsi="Times New Roman" w:cs="Times New Roman"/>
          <w:sz w:val="24"/>
          <w:szCs w:val="24"/>
        </w:rPr>
        <w:t>Kitter’s</w:t>
      </w:r>
      <w:proofErr w:type="spellEnd"/>
      <w:r>
        <w:rPr>
          <w:rFonts w:ascii="Times New Roman" w:hAnsi="Times New Roman" w:cs="Times New Roman"/>
          <w:sz w:val="24"/>
          <w:szCs w:val="24"/>
        </w:rPr>
        <w:t xml:space="preserve"> experience, having worked for the Trust for twenty </w:t>
      </w:r>
      <w:proofErr w:type="gramStart"/>
      <w:r>
        <w:rPr>
          <w:rFonts w:ascii="Times New Roman" w:hAnsi="Times New Roman" w:cs="Times New Roman"/>
          <w:sz w:val="24"/>
          <w:szCs w:val="24"/>
        </w:rPr>
        <w:t>years, that</w:t>
      </w:r>
      <w:proofErr w:type="gramEnd"/>
      <w:r>
        <w:rPr>
          <w:rFonts w:ascii="Times New Roman" w:hAnsi="Times New Roman" w:cs="Times New Roman"/>
          <w:sz w:val="24"/>
          <w:szCs w:val="24"/>
        </w:rPr>
        <w:t xml:space="preserve"> the information is not provided to NEA-Alaska.</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Subsequent to the District’s request for claims data, a written board policy was adopted, memorializing the board’s usual practice not to disclose the data.</w:t>
      </w:r>
      <w:r>
        <w:rPr>
          <w:rStyle w:val="FootnoteReference"/>
          <w:rFonts w:ascii="Times New Roman" w:hAnsi="Times New Roman" w:cs="Times New Roman"/>
          <w:sz w:val="24"/>
          <w:szCs w:val="24"/>
        </w:rPr>
        <w:footnoteReference w:id="20"/>
      </w:r>
      <w:r>
        <w:rPr>
          <w:rFonts w:ascii="Times New Roman" w:hAnsi="Times New Roman" w:cs="Times New Roman"/>
          <w:sz w:val="24"/>
          <w:szCs w:val="24"/>
        </w:rPr>
        <w:t xml:space="preserve"> </w:t>
      </w:r>
    </w:p>
    <w:p w:rsidR="00B47C44" w:rsidRDefault="00B47C44" w:rsidP="00B47C44">
      <w:pPr>
        <w:ind w:firstLine="720"/>
        <w:jc w:val="both"/>
        <w:rPr>
          <w:rFonts w:ascii="Times New Roman" w:hAnsi="Times New Roman" w:cs="Times New Roman"/>
          <w:sz w:val="24"/>
          <w:szCs w:val="24"/>
        </w:rPr>
      </w:pPr>
      <w:r>
        <w:rPr>
          <w:rFonts w:ascii="Times New Roman" w:hAnsi="Times New Roman" w:cs="Times New Roman"/>
          <w:sz w:val="24"/>
          <w:szCs w:val="24"/>
        </w:rPr>
        <w:t>Trustees are not HIPAA</w:t>
      </w:r>
      <w:r>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or PHI</w:t>
      </w:r>
      <w:r>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 authorized, so they only see the minimum amount of info</w:t>
      </w:r>
      <w:r w:rsidR="00CC7343">
        <w:rPr>
          <w:rFonts w:ascii="Times New Roman" w:hAnsi="Times New Roman" w:cs="Times New Roman"/>
          <w:sz w:val="24"/>
          <w:szCs w:val="24"/>
        </w:rPr>
        <w:t>rmation</w:t>
      </w:r>
      <w:r>
        <w:rPr>
          <w:rFonts w:ascii="Times New Roman" w:hAnsi="Times New Roman" w:cs="Times New Roman"/>
          <w:sz w:val="24"/>
          <w:szCs w:val="24"/>
        </w:rPr>
        <w:t xml:space="preserve"> needed to conduct business, including the reports produced by the third-party administrator</w:t>
      </w:r>
      <w:r w:rsidR="00CC7343">
        <w:rPr>
          <w:rFonts w:ascii="Times New Roman" w:hAnsi="Times New Roman" w:cs="Times New Roman"/>
          <w:sz w:val="24"/>
          <w:szCs w:val="24"/>
        </w:rPr>
        <w:t>,</w:t>
      </w:r>
      <w:r>
        <w:rPr>
          <w:rFonts w:ascii="Times New Roman" w:hAnsi="Times New Roman" w:cs="Times New Roman"/>
          <w:sz w:val="24"/>
          <w:szCs w:val="24"/>
        </w:rPr>
        <w:t xml:space="preserve"> and not underlying claims data.</w:t>
      </w:r>
      <w:r>
        <w:rPr>
          <w:rStyle w:val="FootnoteReference"/>
          <w:rFonts w:ascii="Times New Roman" w:hAnsi="Times New Roman" w:cs="Times New Roman"/>
          <w:sz w:val="24"/>
          <w:szCs w:val="24"/>
        </w:rPr>
        <w:footnoteReference w:id="23"/>
      </w:r>
      <w:r w:rsidR="00CC7343">
        <w:rPr>
          <w:rFonts w:ascii="Times New Roman" w:hAnsi="Times New Roman" w:cs="Times New Roman"/>
          <w:sz w:val="24"/>
          <w:szCs w:val="24"/>
        </w:rPr>
        <w:t xml:space="preserve"> Access to </w:t>
      </w:r>
      <w:r>
        <w:rPr>
          <w:rFonts w:ascii="Times New Roman" w:hAnsi="Times New Roman" w:cs="Times New Roman"/>
          <w:sz w:val="24"/>
          <w:szCs w:val="24"/>
        </w:rPr>
        <w:t>protected health infor</w:t>
      </w:r>
      <w:r w:rsidR="00CC7343">
        <w:rPr>
          <w:rFonts w:ascii="Times New Roman" w:hAnsi="Times New Roman" w:cs="Times New Roman"/>
          <w:sz w:val="24"/>
          <w:szCs w:val="24"/>
        </w:rPr>
        <w:t xml:space="preserve">mation </w:t>
      </w:r>
      <w:r>
        <w:rPr>
          <w:rFonts w:ascii="Times New Roman" w:hAnsi="Times New Roman" w:cs="Times New Roman"/>
          <w:sz w:val="24"/>
          <w:szCs w:val="24"/>
        </w:rPr>
        <w:t xml:space="preserve">is limited to </w:t>
      </w:r>
      <w:proofErr w:type="spellStart"/>
      <w:r>
        <w:rPr>
          <w:rFonts w:ascii="Times New Roman" w:hAnsi="Times New Roman" w:cs="Times New Roman"/>
          <w:sz w:val="24"/>
          <w:szCs w:val="24"/>
        </w:rPr>
        <w:t>Kitter</w:t>
      </w:r>
      <w:proofErr w:type="spellEnd"/>
      <w:r>
        <w:rPr>
          <w:rFonts w:ascii="Times New Roman" w:hAnsi="Times New Roman" w:cs="Times New Roman"/>
          <w:sz w:val="24"/>
          <w:szCs w:val="24"/>
        </w:rPr>
        <w:t xml:space="preserve"> and her staff.</w:t>
      </w:r>
      <w:r>
        <w:rPr>
          <w:rStyle w:val="FootnoteReference"/>
          <w:rFonts w:ascii="Times New Roman" w:hAnsi="Times New Roman" w:cs="Times New Roman"/>
          <w:sz w:val="24"/>
          <w:szCs w:val="24"/>
        </w:rPr>
        <w:footnoteReference w:id="24"/>
      </w:r>
      <w:r>
        <w:rPr>
          <w:rFonts w:ascii="Times New Roman" w:hAnsi="Times New Roman" w:cs="Times New Roman"/>
          <w:sz w:val="24"/>
          <w:szCs w:val="24"/>
        </w:rPr>
        <w:t xml:space="preserve"> Groups the Trust insures receive only census data specific to their specific group.</w:t>
      </w:r>
      <w:r>
        <w:rPr>
          <w:rStyle w:val="FootnoteReference"/>
          <w:rFonts w:ascii="Times New Roman" w:hAnsi="Times New Roman" w:cs="Times New Roman"/>
          <w:sz w:val="24"/>
          <w:szCs w:val="24"/>
        </w:rPr>
        <w:footnoteReference w:id="25"/>
      </w:r>
      <w:r>
        <w:rPr>
          <w:rFonts w:ascii="Times New Roman" w:hAnsi="Times New Roman" w:cs="Times New Roman"/>
          <w:sz w:val="24"/>
          <w:szCs w:val="24"/>
        </w:rPr>
        <w:t xml:space="preserve"> Claims data is</w:t>
      </w:r>
      <w:r w:rsidR="009B4E44">
        <w:rPr>
          <w:rFonts w:ascii="Times New Roman" w:hAnsi="Times New Roman" w:cs="Times New Roman"/>
          <w:sz w:val="24"/>
          <w:szCs w:val="24"/>
        </w:rPr>
        <w:t xml:space="preserve"> distinct from census data;</w:t>
      </w:r>
      <w:r>
        <w:rPr>
          <w:rFonts w:ascii="Times New Roman" w:hAnsi="Times New Roman" w:cs="Times New Roman"/>
          <w:sz w:val="24"/>
          <w:szCs w:val="24"/>
        </w:rPr>
        <w:t xml:space="preserve"> the Trust will not release claims data to anyone, including the group that is insured, if it requests the data.</w:t>
      </w:r>
      <w:r>
        <w:rPr>
          <w:rStyle w:val="FootnoteReference"/>
          <w:rFonts w:ascii="Times New Roman" w:hAnsi="Times New Roman" w:cs="Times New Roman"/>
          <w:sz w:val="24"/>
          <w:szCs w:val="24"/>
        </w:rPr>
        <w:footnoteReference w:id="26"/>
      </w:r>
    </w:p>
    <w:p w:rsidR="00B47C44" w:rsidRPr="00E66EF0" w:rsidRDefault="00B47C44" w:rsidP="00B47C44">
      <w:pPr>
        <w:jc w:val="both"/>
        <w:rPr>
          <w:rFonts w:ascii="Times New Roman" w:hAnsi="Times New Roman" w:cs="Times New Roman"/>
          <w:sz w:val="24"/>
          <w:szCs w:val="24"/>
        </w:rPr>
      </w:pPr>
      <w:r>
        <w:rPr>
          <w:rFonts w:ascii="Times New Roman" w:hAnsi="Times New Roman" w:cs="Times New Roman"/>
          <w:sz w:val="24"/>
          <w:szCs w:val="24"/>
        </w:rPr>
        <w:tab/>
        <w:t xml:space="preserve">Additionally, the Trust will not release aggregate or specific claims experience data, including large claims data that relates to a specific group regardless of whether there is a broker </w:t>
      </w:r>
      <w:r>
        <w:rPr>
          <w:rFonts w:ascii="Times New Roman" w:hAnsi="Times New Roman" w:cs="Times New Roman"/>
          <w:sz w:val="24"/>
          <w:szCs w:val="24"/>
        </w:rPr>
        <w:lastRenderedPageBreak/>
        <w:t>of record letter.</w:t>
      </w:r>
      <w:r>
        <w:rPr>
          <w:rStyle w:val="FootnoteReference"/>
          <w:rFonts w:ascii="Times New Roman" w:hAnsi="Times New Roman" w:cs="Times New Roman"/>
          <w:sz w:val="24"/>
          <w:szCs w:val="24"/>
        </w:rPr>
        <w:footnoteReference w:id="27"/>
      </w:r>
      <w:r>
        <w:rPr>
          <w:rFonts w:ascii="Times New Roman" w:hAnsi="Times New Roman" w:cs="Times New Roman"/>
          <w:sz w:val="24"/>
          <w:szCs w:val="24"/>
        </w:rPr>
        <w:t xml:space="preserve"> This is because the Trust provides pooling ratings and rates are not determined by an individual group’s experience.</w:t>
      </w:r>
      <w:r>
        <w:rPr>
          <w:rStyle w:val="FootnoteReference"/>
          <w:rFonts w:ascii="Times New Roman" w:hAnsi="Times New Roman" w:cs="Times New Roman"/>
          <w:sz w:val="24"/>
          <w:szCs w:val="24"/>
        </w:rPr>
        <w:footnoteReference w:id="28"/>
      </w:r>
      <w:r>
        <w:rPr>
          <w:rFonts w:ascii="Times New Roman" w:hAnsi="Times New Roman" w:cs="Times New Roman"/>
          <w:sz w:val="24"/>
          <w:szCs w:val="24"/>
        </w:rPr>
        <w:t xml:space="preserve"> Thus a group’s premiums are not based on the group’s highs and lows, but are pooled with the larger group because they do not individually rate.</w:t>
      </w:r>
      <w:r>
        <w:rPr>
          <w:rStyle w:val="FootnoteReference"/>
          <w:rFonts w:ascii="Times New Roman" w:hAnsi="Times New Roman" w:cs="Times New Roman"/>
          <w:sz w:val="24"/>
          <w:szCs w:val="24"/>
        </w:rPr>
        <w:footnoteReference w:id="29"/>
      </w:r>
      <w:r>
        <w:rPr>
          <w:rFonts w:ascii="Times New Roman" w:hAnsi="Times New Roman" w:cs="Times New Roman"/>
          <w:sz w:val="24"/>
          <w:szCs w:val="24"/>
        </w:rPr>
        <w:t xml:space="preserve"> </w:t>
      </w:r>
      <w:r w:rsidRPr="00E544AA">
        <w:rPr>
          <w:rFonts w:ascii="Times New Roman" w:hAnsi="Times New Roman" w:cs="Times New Roman"/>
          <w:sz w:val="24"/>
          <w:szCs w:val="24"/>
        </w:rPr>
        <w:t>Different and more detailed information is available from groups</w:t>
      </w:r>
      <w:r w:rsidR="001229C3">
        <w:rPr>
          <w:rFonts w:ascii="Times New Roman" w:hAnsi="Times New Roman" w:cs="Times New Roman"/>
          <w:sz w:val="24"/>
          <w:szCs w:val="24"/>
        </w:rPr>
        <w:t xml:space="preserve"> seeking to join the trust</w:t>
      </w:r>
      <w:r w:rsidRPr="00E544AA">
        <w:rPr>
          <w:rFonts w:ascii="Times New Roman" w:hAnsi="Times New Roman" w:cs="Times New Roman"/>
          <w:sz w:val="24"/>
          <w:szCs w:val="24"/>
        </w:rPr>
        <w:t xml:space="preserve"> who</w:t>
      </w:r>
      <w:r w:rsidR="001229C3">
        <w:rPr>
          <w:rFonts w:ascii="Times New Roman" w:hAnsi="Times New Roman" w:cs="Times New Roman"/>
          <w:sz w:val="24"/>
          <w:szCs w:val="24"/>
        </w:rPr>
        <w:t xml:space="preserve"> were previously</w:t>
      </w:r>
      <w:r w:rsidRPr="00E544AA">
        <w:rPr>
          <w:rFonts w:ascii="Times New Roman" w:hAnsi="Times New Roman" w:cs="Times New Roman"/>
          <w:sz w:val="24"/>
          <w:szCs w:val="24"/>
        </w:rPr>
        <w:t xml:space="preserve"> self-insure</w:t>
      </w:r>
      <w:r w:rsidR="001229C3">
        <w:rPr>
          <w:rFonts w:ascii="Times New Roman" w:hAnsi="Times New Roman" w:cs="Times New Roman"/>
          <w:sz w:val="24"/>
          <w:szCs w:val="24"/>
        </w:rPr>
        <w:t>d;</w:t>
      </w:r>
      <w:r w:rsidRPr="00E544AA">
        <w:rPr>
          <w:rFonts w:ascii="Times New Roman" w:hAnsi="Times New Roman" w:cs="Times New Roman"/>
          <w:sz w:val="24"/>
          <w:szCs w:val="24"/>
        </w:rPr>
        <w:t xml:space="preserve"> they are able to provide the data because they have carried the full risk of covering their group so they have all of their own data.</w:t>
      </w:r>
      <w:r w:rsidRPr="00E544AA">
        <w:rPr>
          <w:rStyle w:val="FootnoteReference"/>
          <w:rFonts w:ascii="Times New Roman" w:hAnsi="Times New Roman" w:cs="Times New Roman"/>
          <w:sz w:val="24"/>
          <w:szCs w:val="24"/>
        </w:rPr>
        <w:footnoteReference w:id="30"/>
      </w:r>
      <w:r w:rsidRPr="00E544AA">
        <w:rPr>
          <w:rFonts w:ascii="Times New Roman" w:hAnsi="Times New Roman" w:cs="Times New Roman"/>
          <w:sz w:val="24"/>
          <w:szCs w:val="24"/>
        </w:rPr>
        <w:t xml:space="preserve"> </w:t>
      </w:r>
    </w:p>
    <w:p w:rsidR="00B47C44" w:rsidRDefault="00DC1C92" w:rsidP="00B47C44">
      <w:pPr>
        <w:ind w:firstLine="720"/>
        <w:jc w:val="both"/>
        <w:rPr>
          <w:rFonts w:ascii="Times New Roman" w:hAnsi="Times New Roman" w:cs="Times New Roman"/>
          <w:sz w:val="24"/>
          <w:szCs w:val="24"/>
        </w:rPr>
      </w:pPr>
      <w:r>
        <w:rPr>
          <w:rFonts w:ascii="Times New Roman" w:hAnsi="Times New Roman" w:cs="Times New Roman"/>
          <w:sz w:val="24"/>
          <w:szCs w:val="24"/>
        </w:rPr>
        <w:t>The Trust</w:t>
      </w:r>
      <w:r w:rsidR="00B47C44">
        <w:rPr>
          <w:rFonts w:ascii="Times New Roman" w:hAnsi="Times New Roman" w:cs="Times New Roman"/>
          <w:sz w:val="24"/>
          <w:szCs w:val="24"/>
        </w:rPr>
        <w:t xml:space="preserve"> provides the </w:t>
      </w:r>
      <w:r w:rsidR="003805D2">
        <w:rPr>
          <w:rFonts w:ascii="Times New Roman" w:hAnsi="Times New Roman" w:cs="Times New Roman"/>
          <w:sz w:val="24"/>
          <w:szCs w:val="24"/>
        </w:rPr>
        <w:t>entirety of information to its</w:t>
      </w:r>
      <w:r w:rsidR="00B47C44">
        <w:rPr>
          <w:rFonts w:ascii="Times New Roman" w:hAnsi="Times New Roman" w:cs="Times New Roman"/>
          <w:sz w:val="24"/>
          <w:szCs w:val="24"/>
        </w:rPr>
        <w:t xml:space="preserve"> stop-loss carrier so </w:t>
      </w:r>
      <w:r w:rsidR="003805D2">
        <w:rPr>
          <w:rFonts w:ascii="Times New Roman" w:hAnsi="Times New Roman" w:cs="Times New Roman"/>
          <w:sz w:val="24"/>
          <w:szCs w:val="24"/>
        </w:rPr>
        <w:t>the stop-loss carrier</w:t>
      </w:r>
      <w:r w:rsidR="00B47C44">
        <w:rPr>
          <w:rFonts w:ascii="Times New Roman" w:hAnsi="Times New Roman" w:cs="Times New Roman"/>
          <w:sz w:val="24"/>
          <w:szCs w:val="24"/>
        </w:rPr>
        <w:t xml:space="preserve"> can determine whether </w:t>
      </w:r>
      <w:r w:rsidR="003805D2">
        <w:rPr>
          <w:rFonts w:ascii="Times New Roman" w:hAnsi="Times New Roman" w:cs="Times New Roman"/>
          <w:sz w:val="24"/>
          <w:szCs w:val="24"/>
        </w:rPr>
        <w:t>it</w:t>
      </w:r>
      <w:r w:rsidR="00B47C44">
        <w:rPr>
          <w:rFonts w:ascii="Times New Roman" w:hAnsi="Times New Roman" w:cs="Times New Roman"/>
          <w:sz w:val="24"/>
          <w:szCs w:val="24"/>
        </w:rPr>
        <w:t xml:space="preserve"> will cover the</w:t>
      </w:r>
      <w:r w:rsidR="003805D2">
        <w:rPr>
          <w:rFonts w:ascii="Times New Roman" w:hAnsi="Times New Roman" w:cs="Times New Roman"/>
          <w:sz w:val="24"/>
          <w:szCs w:val="24"/>
        </w:rPr>
        <w:t xml:space="preserve"> risks of the Trust</w:t>
      </w:r>
      <w:r w:rsidR="00B47C44">
        <w:rPr>
          <w:rFonts w:ascii="Times New Roman" w:hAnsi="Times New Roman" w:cs="Times New Roman"/>
          <w:sz w:val="24"/>
          <w:szCs w:val="24"/>
        </w:rPr>
        <w:t>.</w:t>
      </w:r>
      <w:r w:rsidR="00B47C44">
        <w:rPr>
          <w:rStyle w:val="FootnoteReference"/>
          <w:rFonts w:ascii="Times New Roman" w:hAnsi="Times New Roman" w:cs="Times New Roman"/>
          <w:sz w:val="24"/>
          <w:szCs w:val="24"/>
        </w:rPr>
        <w:footnoteReference w:id="31"/>
      </w:r>
      <w:r w:rsidR="00B47C44">
        <w:rPr>
          <w:rFonts w:ascii="Times New Roman" w:hAnsi="Times New Roman" w:cs="Times New Roman"/>
          <w:sz w:val="24"/>
          <w:szCs w:val="24"/>
        </w:rPr>
        <w:t xml:space="preserve"> The stop-loss carrier will make decisions about whether to exclude large claims and if </w:t>
      </w:r>
      <w:r w:rsidR="005954C4">
        <w:rPr>
          <w:rFonts w:ascii="Times New Roman" w:hAnsi="Times New Roman" w:cs="Times New Roman"/>
          <w:sz w:val="24"/>
          <w:szCs w:val="24"/>
        </w:rPr>
        <w:t>it</w:t>
      </w:r>
      <w:r w:rsidR="00B47C44">
        <w:rPr>
          <w:rFonts w:ascii="Times New Roman" w:hAnsi="Times New Roman" w:cs="Times New Roman"/>
          <w:sz w:val="24"/>
          <w:szCs w:val="24"/>
        </w:rPr>
        <w:t xml:space="preserve"> do</w:t>
      </w:r>
      <w:r w:rsidR="005954C4">
        <w:rPr>
          <w:rFonts w:ascii="Times New Roman" w:hAnsi="Times New Roman" w:cs="Times New Roman"/>
          <w:sz w:val="24"/>
          <w:szCs w:val="24"/>
        </w:rPr>
        <w:t>es</w:t>
      </w:r>
      <w:r w:rsidR="00B47C44">
        <w:rPr>
          <w:rFonts w:ascii="Times New Roman" w:hAnsi="Times New Roman" w:cs="Times New Roman"/>
          <w:sz w:val="24"/>
          <w:szCs w:val="24"/>
        </w:rPr>
        <w:t>, then the risk is the</w:t>
      </w:r>
      <w:r w:rsidR="005055E4">
        <w:rPr>
          <w:rFonts w:ascii="Times New Roman" w:hAnsi="Times New Roman" w:cs="Times New Roman"/>
          <w:sz w:val="24"/>
          <w:szCs w:val="24"/>
        </w:rPr>
        <w:t xml:space="preserve"> responsibility of the Trust and it must </w:t>
      </w:r>
      <w:r w:rsidR="00B47C44">
        <w:rPr>
          <w:rFonts w:ascii="Times New Roman" w:hAnsi="Times New Roman" w:cs="Times New Roman"/>
          <w:sz w:val="24"/>
          <w:szCs w:val="24"/>
        </w:rPr>
        <w:t>absorb the cost.</w:t>
      </w:r>
      <w:r w:rsidR="00B47C44">
        <w:rPr>
          <w:rStyle w:val="FootnoteReference"/>
          <w:rFonts w:ascii="Times New Roman" w:hAnsi="Times New Roman" w:cs="Times New Roman"/>
          <w:sz w:val="24"/>
          <w:szCs w:val="24"/>
        </w:rPr>
        <w:footnoteReference w:id="32"/>
      </w:r>
      <w:r w:rsidR="00B47C44" w:rsidRPr="00FB7971">
        <w:rPr>
          <w:rFonts w:ascii="Times New Roman" w:hAnsi="Times New Roman" w:cs="Times New Roman"/>
          <w:sz w:val="24"/>
          <w:szCs w:val="24"/>
        </w:rPr>
        <w:t xml:space="preserve"> </w:t>
      </w:r>
      <w:proofErr w:type="spellStart"/>
      <w:r w:rsidR="00B47C44">
        <w:rPr>
          <w:rFonts w:ascii="Times New Roman" w:hAnsi="Times New Roman" w:cs="Times New Roman"/>
          <w:sz w:val="24"/>
          <w:szCs w:val="24"/>
        </w:rPr>
        <w:t>Kitter</w:t>
      </w:r>
      <w:proofErr w:type="spellEnd"/>
      <w:r w:rsidR="00B47C44">
        <w:rPr>
          <w:rFonts w:ascii="Times New Roman" w:hAnsi="Times New Roman" w:cs="Times New Roman"/>
          <w:sz w:val="24"/>
          <w:szCs w:val="24"/>
        </w:rPr>
        <w:t xml:space="preserve"> testified that because the </w:t>
      </w:r>
      <w:r w:rsidR="00387C51">
        <w:rPr>
          <w:rFonts w:ascii="Times New Roman" w:hAnsi="Times New Roman" w:cs="Times New Roman"/>
          <w:sz w:val="24"/>
          <w:szCs w:val="24"/>
        </w:rPr>
        <w:t>Trust is a separate entity, it</w:t>
      </w:r>
      <w:r w:rsidR="00B47C44">
        <w:rPr>
          <w:rFonts w:ascii="Times New Roman" w:hAnsi="Times New Roman" w:cs="Times New Roman"/>
          <w:sz w:val="24"/>
          <w:szCs w:val="24"/>
        </w:rPr>
        <w:t xml:space="preserve"> do</w:t>
      </w:r>
      <w:r w:rsidR="00387C51">
        <w:rPr>
          <w:rFonts w:ascii="Times New Roman" w:hAnsi="Times New Roman" w:cs="Times New Roman"/>
          <w:sz w:val="24"/>
          <w:szCs w:val="24"/>
        </w:rPr>
        <w:t>es</w:t>
      </w:r>
      <w:r w:rsidR="00B47C44">
        <w:rPr>
          <w:rFonts w:ascii="Times New Roman" w:hAnsi="Times New Roman" w:cs="Times New Roman"/>
          <w:sz w:val="24"/>
          <w:szCs w:val="24"/>
        </w:rPr>
        <w:t xml:space="preserve"> not participate in bargaining and would not have released the data even if it helped the bargaining process.</w:t>
      </w:r>
      <w:r w:rsidR="00B47C44">
        <w:rPr>
          <w:rStyle w:val="FootnoteReference"/>
          <w:rFonts w:ascii="Times New Roman" w:hAnsi="Times New Roman" w:cs="Times New Roman"/>
          <w:sz w:val="24"/>
          <w:szCs w:val="24"/>
        </w:rPr>
        <w:footnoteReference w:id="33"/>
      </w:r>
      <w:r w:rsidR="00B47C44">
        <w:rPr>
          <w:rFonts w:ascii="Times New Roman" w:hAnsi="Times New Roman" w:cs="Times New Roman"/>
          <w:sz w:val="24"/>
          <w:szCs w:val="24"/>
        </w:rPr>
        <w:t xml:space="preserve"> </w:t>
      </w:r>
      <w:proofErr w:type="spellStart"/>
      <w:r w:rsidR="00021DE6">
        <w:rPr>
          <w:rFonts w:ascii="Times New Roman" w:hAnsi="Times New Roman" w:cs="Times New Roman"/>
          <w:sz w:val="24"/>
          <w:szCs w:val="24"/>
        </w:rPr>
        <w:t>Kitter</w:t>
      </w:r>
      <w:proofErr w:type="spellEnd"/>
      <w:r w:rsidR="00021DE6">
        <w:rPr>
          <w:rFonts w:ascii="Times New Roman" w:hAnsi="Times New Roman" w:cs="Times New Roman"/>
          <w:sz w:val="24"/>
          <w:szCs w:val="24"/>
        </w:rPr>
        <w:t xml:space="preserve"> testified that had NEA-</w:t>
      </w:r>
      <w:r w:rsidR="00B47C44">
        <w:rPr>
          <w:rFonts w:ascii="Times New Roman" w:hAnsi="Times New Roman" w:cs="Times New Roman"/>
          <w:sz w:val="24"/>
          <w:szCs w:val="24"/>
        </w:rPr>
        <w:t>Alaska requested claims data, she would have taken the request to the trustees.</w:t>
      </w:r>
      <w:r w:rsidR="00B47C44">
        <w:rPr>
          <w:rStyle w:val="FootnoteReference"/>
          <w:rFonts w:ascii="Times New Roman" w:hAnsi="Times New Roman" w:cs="Times New Roman"/>
          <w:sz w:val="24"/>
          <w:szCs w:val="24"/>
        </w:rPr>
        <w:footnoteReference w:id="34"/>
      </w:r>
      <w:r w:rsidR="00B47C44">
        <w:rPr>
          <w:rFonts w:ascii="Times New Roman" w:hAnsi="Times New Roman" w:cs="Times New Roman"/>
          <w:sz w:val="24"/>
          <w:szCs w:val="24"/>
        </w:rPr>
        <w:t xml:space="preserve"> </w:t>
      </w:r>
    </w:p>
    <w:p w:rsidR="00B47C44" w:rsidRDefault="00B47C44" w:rsidP="00B47C44">
      <w:pPr>
        <w:ind w:firstLine="720"/>
        <w:jc w:val="both"/>
        <w:rPr>
          <w:rFonts w:ascii="Times New Roman" w:hAnsi="Times New Roman" w:cs="Times New Roman"/>
          <w:sz w:val="24"/>
          <w:szCs w:val="24"/>
        </w:rPr>
      </w:pPr>
      <w:r>
        <w:rPr>
          <w:rFonts w:ascii="Times New Roman" w:hAnsi="Times New Roman" w:cs="Times New Roman"/>
          <w:sz w:val="24"/>
          <w:szCs w:val="24"/>
        </w:rPr>
        <w:t>B. Access to the Trust’s information</w:t>
      </w:r>
    </w:p>
    <w:p w:rsidR="00B47C44" w:rsidRDefault="00B47C44" w:rsidP="00B47C44">
      <w:pPr>
        <w:ind w:firstLine="720"/>
        <w:jc w:val="both"/>
        <w:rPr>
          <w:rFonts w:ascii="Times New Roman" w:hAnsi="Times New Roman" w:cs="Times New Roman"/>
          <w:sz w:val="24"/>
          <w:szCs w:val="24"/>
        </w:rPr>
      </w:pPr>
      <w:r>
        <w:rPr>
          <w:rFonts w:ascii="Times New Roman" w:hAnsi="Times New Roman" w:cs="Times New Roman"/>
          <w:sz w:val="24"/>
          <w:szCs w:val="24"/>
        </w:rPr>
        <w:t>The District had requested the claims data several times over the last 10 – 15 years, and the Trust consistently denied the request.</w:t>
      </w:r>
      <w:r>
        <w:rPr>
          <w:rStyle w:val="FootnoteReference"/>
          <w:rFonts w:ascii="Times New Roman" w:hAnsi="Times New Roman" w:cs="Times New Roman"/>
          <w:sz w:val="24"/>
          <w:szCs w:val="24"/>
        </w:rPr>
        <w:footnoteReference w:id="35"/>
      </w:r>
      <w:r>
        <w:rPr>
          <w:rFonts w:ascii="Times New Roman" w:hAnsi="Times New Roman" w:cs="Times New Roman"/>
          <w:sz w:val="24"/>
          <w:szCs w:val="24"/>
        </w:rPr>
        <w:t xml:space="preserve"> A year after the District’s 2017 request, the Trust created a written policy stating that it will not release claims information.</w:t>
      </w:r>
      <w:r>
        <w:rPr>
          <w:rStyle w:val="FootnoteReference"/>
          <w:rFonts w:ascii="Times New Roman" w:hAnsi="Times New Roman" w:cs="Times New Roman"/>
          <w:sz w:val="24"/>
          <w:szCs w:val="24"/>
        </w:rPr>
        <w:footnoteReference w:id="36"/>
      </w:r>
      <w:r>
        <w:rPr>
          <w:rFonts w:ascii="Times New Roman" w:hAnsi="Times New Roman" w:cs="Times New Roman"/>
          <w:sz w:val="24"/>
          <w:szCs w:val="24"/>
        </w:rPr>
        <w:t xml:space="preserve"> </w:t>
      </w:r>
      <w:proofErr w:type="spellStart"/>
      <w:r>
        <w:rPr>
          <w:rFonts w:ascii="Times New Roman" w:hAnsi="Times New Roman" w:cs="Times New Roman"/>
          <w:sz w:val="24"/>
          <w:szCs w:val="24"/>
        </w:rPr>
        <w:t>Kitter</w:t>
      </w:r>
      <w:proofErr w:type="spellEnd"/>
      <w:r>
        <w:rPr>
          <w:rFonts w:ascii="Times New Roman" w:hAnsi="Times New Roman" w:cs="Times New Roman"/>
          <w:sz w:val="24"/>
          <w:szCs w:val="24"/>
        </w:rPr>
        <w:t xml:space="preserve"> explained that the written policy was created to reflect the actual way the Trust operates in practice.</w:t>
      </w:r>
      <w:r>
        <w:rPr>
          <w:rStyle w:val="FootnoteReference"/>
          <w:rFonts w:ascii="Times New Roman" w:hAnsi="Times New Roman" w:cs="Times New Roman"/>
          <w:sz w:val="24"/>
          <w:szCs w:val="24"/>
        </w:rPr>
        <w:footnoteReference w:id="37"/>
      </w:r>
      <w:r>
        <w:rPr>
          <w:rFonts w:ascii="Times New Roman" w:hAnsi="Times New Roman" w:cs="Times New Roman"/>
          <w:sz w:val="24"/>
          <w:szCs w:val="24"/>
        </w:rPr>
        <w:t xml:space="preserve"> Though there was no written policy, NEA-Alaska is not entitled to specific or aggregate experience information either and that is how the Trust has always operated as far as </w:t>
      </w:r>
      <w:proofErr w:type="spellStart"/>
      <w:r>
        <w:rPr>
          <w:rFonts w:ascii="Times New Roman" w:hAnsi="Times New Roman" w:cs="Times New Roman"/>
          <w:sz w:val="24"/>
          <w:szCs w:val="24"/>
        </w:rPr>
        <w:t>Kitter</w:t>
      </w:r>
      <w:proofErr w:type="spellEnd"/>
      <w:r>
        <w:rPr>
          <w:rFonts w:ascii="Times New Roman" w:hAnsi="Times New Roman" w:cs="Times New Roman"/>
          <w:sz w:val="24"/>
          <w:szCs w:val="24"/>
        </w:rPr>
        <w:t xml:space="preserve"> is aware.</w:t>
      </w:r>
      <w:r>
        <w:rPr>
          <w:rStyle w:val="FootnoteReference"/>
          <w:rFonts w:ascii="Times New Roman" w:hAnsi="Times New Roman" w:cs="Times New Roman"/>
          <w:sz w:val="24"/>
          <w:szCs w:val="24"/>
        </w:rPr>
        <w:footnoteReference w:id="38"/>
      </w:r>
      <w:r>
        <w:rPr>
          <w:rFonts w:ascii="Times New Roman" w:hAnsi="Times New Roman" w:cs="Times New Roman"/>
          <w:sz w:val="24"/>
          <w:szCs w:val="24"/>
        </w:rPr>
        <w:t xml:space="preserve"> </w:t>
      </w:r>
      <w:proofErr w:type="spellStart"/>
      <w:r>
        <w:rPr>
          <w:rFonts w:ascii="Times New Roman" w:hAnsi="Times New Roman" w:cs="Times New Roman"/>
          <w:sz w:val="24"/>
          <w:szCs w:val="24"/>
        </w:rPr>
        <w:t>Kitter</w:t>
      </w:r>
      <w:proofErr w:type="spellEnd"/>
      <w:r>
        <w:rPr>
          <w:rFonts w:ascii="Times New Roman" w:hAnsi="Times New Roman" w:cs="Times New Roman"/>
          <w:sz w:val="24"/>
          <w:szCs w:val="24"/>
        </w:rPr>
        <w:t xml:space="preserve"> is not aware that NEA-Alaska has ever made a request for aggregate or specific claims data.</w:t>
      </w:r>
      <w:r>
        <w:rPr>
          <w:rStyle w:val="FootnoteReference"/>
          <w:rFonts w:ascii="Times New Roman" w:hAnsi="Times New Roman" w:cs="Times New Roman"/>
          <w:sz w:val="24"/>
          <w:szCs w:val="24"/>
        </w:rPr>
        <w:footnoteReference w:id="39"/>
      </w:r>
      <w:r>
        <w:rPr>
          <w:rFonts w:ascii="Times New Roman" w:hAnsi="Times New Roman" w:cs="Times New Roman"/>
          <w:sz w:val="24"/>
          <w:szCs w:val="24"/>
        </w:rPr>
        <w:t xml:space="preserve">  Glen </w:t>
      </w:r>
      <w:proofErr w:type="spellStart"/>
      <w:r>
        <w:rPr>
          <w:rFonts w:ascii="Times New Roman" w:hAnsi="Times New Roman" w:cs="Times New Roman"/>
          <w:sz w:val="24"/>
          <w:szCs w:val="24"/>
        </w:rPr>
        <w:t>Bafia</w:t>
      </w:r>
      <w:proofErr w:type="spellEnd"/>
      <w:r>
        <w:rPr>
          <w:rFonts w:ascii="Times New Roman" w:hAnsi="Times New Roman" w:cs="Times New Roman"/>
          <w:sz w:val="24"/>
          <w:szCs w:val="24"/>
        </w:rPr>
        <w:t>, Executive Director for NEA-Alaska testified that it was his understanding that NEA-Alaska had no authority over the Trust and the two entities were distinct.</w:t>
      </w:r>
      <w:r>
        <w:rPr>
          <w:rStyle w:val="FootnoteReference"/>
          <w:rFonts w:ascii="Times New Roman" w:hAnsi="Times New Roman" w:cs="Times New Roman"/>
          <w:sz w:val="24"/>
          <w:szCs w:val="24"/>
        </w:rPr>
        <w:footnoteReference w:id="40"/>
      </w:r>
      <w:r>
        <w:rPr>
          <w:rFonts w:ascii="Times New Roman" w:hAnsi="Times New Roman" w:cs="Times New Roman"/>
          <w:sz w:val="24"/>
          <w:szCs w:val="24"/>
        </w:rPr>
        <w:t xml:space="preserve"> </w:t>
      </w:r>
      <w:proofErr w:type="spellStart"/>
      <w:r>
        <w:rPr>
          <w:rFonts w:ascii="Times New Roman" w:hAnsi="Times New Roman" w:cs="Times New Roman"/>
          <w:sz w:val="24"/>
          <w:szCs w:val="24"/>
        </w:rPr>
        <w:t>Bafia</w:t>
      </w:r>
      <w:proofErr w:type="spellEnd"/>
      <w:r>
        <w:rPr>
          <w:rFonts w:ascii="Times New Roman" w:hAnsi="Times New Roman" w:cs="Times New Roman"/>
          <w:sz w:val="24"/>
          <w:szCs w:val="24"/>
        </w:rPr>
        <w:t xml:space="preserve"> became the Executive Director in February 2017, and he is not aware of the Trust ever providing information</w:t>
      </w:r>
      <w:r w:rsidR="00021DE6">
        <w:rPr>
          <w:rFonts w:ascii="Times New Roman" w:hAnsi="Times New Roman" w:cs="Times New Roman"/>
          <w:sz w:val="24"/>
          <w:szCs w:val="24"/>
        </w:rPr>
        <w:t xml:space="preserve"> or reports</w:t>
      </w:r>
      <w:r>
        <w:rPr>
          <w:rFonts w:ascii="Times New Roman" w:hAnsi="Times New Roman" w:cs="Times New Roman"/>
          <w:sz w:val="24"/>
          <w:szCs w:val="24"/>
        </w:rPr>
        <w:t xml:space="preserve"> to t</w:t>
      </w:r>
      <w:r w:rsidR="00021DE6">
        <w:rPr>
          <w:rFonts w:ascii="Times New Roman" w:hAnsi="Times New Roman" w:cs="Times New Roman"/>
          <w:sz w:val="24"/>
          <w:szCs w:val="24"/>
        </w:rPr>
        <w:t xml:space="preserve">he NEA-Alaska board </w:t>
      </w:r>
      <w:r>
        <w:rPr>
          <w:rFonts w:ascii="Times New Roman" w:hAnsi="Times New Roman" w:cs="Times New Roman"/>
          <w:sz w:val="24"/>
          <w:szCs w:val="24"/>
        </w:rPr>
        <w:t>as an oversight or supervisory entity, and he is not aware of NEA-Alaska ever requesting information from the Trust as a supervisory or oversight entity.</w:t>
      </w:r>
      <w:r>
        <w:rPr>
          <w:rStyle w:val="FootnoteReference"/>
          <w:rFonts w:ascii="Times New Roman" w:hAnsi="Times New Roman" w:cs="Times New Roman"/>
          <w:sz w:val="24"/>
          <w:szCs w:val="24"/>
        </w:rPr>
        <w:footnoteReference w:id="41"/>
      </w:r>
      <w:r>
        <w:rPr>
          <w:rFonts w:ascii="Times New Roman" w:hAnsi="Times New Roman" w:cs="Times New Roman"/>
          <w:sz w:val="24"/>
          <w:szCs w:val="24"/>
        </w:rPr>
        <w:t xml:space="preserve"> </w:t>
      </w:r>
      <w:proofErr w:type="spellStart"/>
      <w:r>
        <w:rPr>
          <w:rFonts w:ascii="Times New Roman" w:hAnsi="Times New Roman" w:cs="Times New Roman"/>
          <w:sz w:val="24"/>
          <w:szCs w:val="24"/>
        </w:rPr>
        <w:t>Bafia</w:t>
      </w:r>
      <w:proofErr w:type="spellEnd"/>
      <w:r>
        <w:rPr>
          <w:rFonts w:ascii="Times New Roman" w:hAnsi="Times New Roman" w:cs="Times New Roman"/>
          <w:sz w:val="24"/>
          <w:szCs w:val="24"/>
        </w:rPr>
        <w:t xml:space="preserve"> testified that NEA-Alaska, as an employer, provides insurance to its employees through the Trust. </w:t>
      </w:r>
      <w:r>
        <w:rPr>
          <w:rStyle w:val="FootnoteReference"/>
          <w:rFonts w:ascii="Times New Roman" w:hAnsi="Times New Roman" w:cs="Times New Roman"/>
          <w:sz w:val="24"/>
          <w:szCs w:val="24"/>
        </w:rPr>
        <w:footnoteReference w:id="42"/>
      </w:r>
    </w:p>
    <w:p w:rsidR="00B47C44" w:rsidRDefault="00B47C44" w:rsidP="00B47C44">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When </w:t>
      </w:r>
      <w:proofErr w:type="spellStart"/>
      <w:r>
        <w:rPr>
          <w:rFonts w:ascii="Times New Roman" w:hAnsi="Times New Roman" w:cs="Times New Roman"/>
          <w:sz w:val="24"/>
          <w:szCs w:val="24"/>
        </w:rPr>
        <w:t>Kitter</w:t>
      </w:r>
      <w:proofErr w:type="spellEnd"/>
      <w:r>
        <w:rPr>
          <w:rFonts w:ascii="Times New Roman" w:hAnsi="Times New Roman" w:cs="Times New Roman"/>
          <w:sz w:val="24"/>
          <w:szCs w:val="24"/>
        </w:rPr>
        <w:t xml:space="preserve"> was ask</w:t>
      </w:r>
      <w:r w:rsidR="009B07A0">
        <w:rPr>
          <w:rFonts w:ascii="Times New Roman" w:hAnsi="Times New Roman" w:cs="Times New Roman"/>
          <w:sz w:val="24"/>
          <w:szCs w:val="24"/>
        </w:rPr>
        <w:t>ed to identify a situation in which</w:t>
      </w:r>
      <w:r>
        <w:rPr>
          <w:rFonts w:ascii="Times New Roman" w:hAnsi="Times New Roman" w:cs="Times New Roman"/>
          <w:sz w:val="24"/>
          <w:szCs w:val="24"/>
        </w:rPr>
        <w:t xml:space="preserve"> the data would be released, she stated that if de-identified data is requested by a court order, then the Trust would release it and this has never happened.</w:t>
      </w:r>
      <w:r>
        <w:rPr>
          <w:rStyle w:val="FootnoteReference"/>
          <w:rFonts w:ascii="Times New Roman" w:hAnsi="Times New Roman" w:cs="Times New Roman"/>
          <w:sz w:val="24"/>
          <w:szCs w:val="24"/>
        </w:rPr>
        <w:footnoteReference w:id="43"/>
      </w:r>
      <w:r>
        <w:rPr>
          <w:rFonts w:ascii="Times New Roman" w:hAnsi="Times New Roman" w:cs="Times New Roman"/>
          <w:sz w:val="24"/>
          <w:szCs w:val="24"/>
        </w:rPr>
        <w:t xml:space="preserve"> Individual participants have access to their own data at all times.</w:t>
      </w:r>
      <w:r>
        <w:rPr>
          <w:rStyle w:val="FootnoteReference"/>
          <w:rFonts w:ascii="Times New Roman" w:hAnsi="Times New Roman" w:cs="Times New Roman"/>
          <w:sz w:val="24"/>
          <w:szCs w:val="24"/>
        </w:rPr>
        <w:footnoteReference w:id="44"/>
      </w:r>
      <w:r>
        <w:rPr>
          <w:rFonts w:ascii="Times New Roman" w:hAnsi="Times New Roman" w:cs="Times New Roman"/>
          <w:sz w:val="24"/>
          <w:szCs w:val="24"/>
        </w:rPr>
        <w:t xml:space="preserve"> These are the only mandatory releases.</w:t>
      </w:r>
      <w:r>
        <w:rPr>
          <w:rStyle w:val="FootnoteReference"/>
          <w:rFonts w:ascii="Times New Roman" w:hAnsi="Times New Roman" w:cs="Times New Roman"/>
          <w:sz w:val="24"/>
          <w:szCs w:val="24"/>
        </w:rPr>
        <w:footnoteReference w:id="45"/>
      </w:r>
      <w:r>
        <w:rPr>
          <w:rFonts w:ascii="Times New Roman" w:hAnsi="Times New Roman" w:cs="Times New Roman"/>
          <w:sz w:val="24"/>
          <w:szCs w:val="24"/>
        </w:rPr>
        <w:t xml:space="preserve"> </w:t>
      </w:r>
    </w:p>
    <w:p w:rsidR="00B47C44" w:rsidRDefault="00B47C44" w:rsidP="00B47C44">
      <w:pPr>
        <w:ind w:firstLine="720"/>
        <w:jc w:val="both"/>
        <w:rPr>
          <w:rFonts w:ascii="Times New Roman" w:hAnsi="Times New Roman" w:cs="Times New Roman"/>
          <w:sz w:val="24"/>
          <w:szCs w:val="24"/>
        </w:rPr>
      </w:pPr>
      <w:r>
        <w:rPr>
          <w:rFonts w:ascii="Times New Roman" w:hAnsi="Times New Roman" w:cs="Times New Roman"/>
          <w:sz w:val="24"/>
          <w:szCs w:val="24"/>
        </w:rPr>
        <w:t xml:space="preserve">If it </w:t>
      </w:r>
      <w:r w:rsidR="009B07A0">
        <w:rPr>
          <w:rFonts w:ascii="Times New Roman" w:hAnsi="Times New Roman" w:cs="Times New Roman"/>
          <w:sz w:val="24"/>
          <w:szCs w:val="24"/>
        </w:rPr>
        <w:t>were in their interest, and the trustees</w:t>
      </w:r>
      <w:r>
        <w:rPr>
          <w:rFonts w:ascii="Times New Roman" w:hAnsi="Times New Roman" w:cs="Times New Roman"/>
          <w:sz w:val="24"/>
          <w:szCs w:val="24"/>
        </w:rPr>
        <w:t xml:space="preserve"> </w:t>
      </w:r>
      <w:r w:rsidR="009B07A0">
        <w:rPr>
          <w:rFonts w:ascii="Times New Roman" w:hAnsi="Times New Roman" w:cs="Times New Roman"/>
          <w:sz w:val="24"/>
          <w:szCs w:val="24"/>
        </w:rPr>
        <w:t>chose to, the Trust could</w:t>
      </w:r>
      <w:r>
        <w:rPr>
          <w:rFonts w:ascii="Times New Roman" w:hAnsi="Times New Roman" w:cs="Times New Roman"/>
          <w:sz w:val="24"/>
          <w:szCs w:val="24"/>
        </w:rPr>
        <w:t xml:space="preserve"> release de-identified claims data and </w:t>
      </w:r>
      <w:proofErr w:type="spellStart"/>
      <w:r>
        <w:rPr>
          <w:rFonts w:ascii="Times New Roman" w:hAnsi="Times New Roman" w:cs="Times New Roman"/>
          <w:sz w:val="24"/>
          <w:szCs w:val="24"/>
        </w:rPr>
        <w:t>Kitter</w:t>
      </w:r>
      <w:proofErr w:type="spellEnd"/>
      <w:r>
        <w:rPr>
          <w:rFonts w:ascii="Times New Roman" w:hAnsi="Times New Roman" w:cs="Times New Roman"/>
          <w:sz w:val="24"/>
          <w:szCs w:val="24"/>
        </w:rPr>
        <w:t xml:space="preserve"> would follow that directive.</w:t>
      </w:r>
      <w:r>
        <w:rPr>
          <w:rStyle w:val="FootnoteReference"/>
          <w:rFonts w:ascii="Times New Roman" w:hAnsi="Times New Roman" w:cs="Times New Roman"/>
          <w:sz w:val="24"/>
          <w:szCs w:val="24"/>
        </w:rPr>
        <w:footnoteReference w:id="46"/>
      </w:r>
      <w:r w:rsidR="009B07A0">
        <w:rPr>
          <w:rFonts w:ascii="Times New Roman" w:hAnsi="Times New Roman" w:cs="Times New Roman"/>
          <w:sz w:val="24"/>
          <w:szCs w:val="24"/>
        </w:rPr>
        <w:t xml:space="preserve"> Thus, i</w:t>
      </w:r>
      <w:r>
        <w:rPr>
          <w:rFonts w:ascii="Times New Roman" w:hAnsi="Times New Roman" w:cs="Times New Roman"/>
          <w:sz w:val="24"/>
          <w:szCs w:val="24"/>
        </w:rPr>
        <w:t>t is possible for the Trust to produce the data the District seeks, but the Trust policy prohibits its release.</w:t>
      </w:r>
      <w:r>
        <w:rPr>
          <w:rStyle w:val="FootnoteReference"/>
          <w:rFonts w:ascii="Times New Roman" w:hAnsi="Times New Roman" w:cs="Times New Roman"/>
          <w:sz w:val="24"/>
          <w:szCs w:val="24"/>
        </w:rPr>
        <w:footnoteReference w:id="47"/>
      </w:r>
    </w:p>
    <w:p w:rsidR="00B47C44" w:rsidRDefault="00B47C44" w:rsidP="00B47C44">
      <w:pPr>
        <w:ind w:firstLine="720"/>
        <w:jc w:val="both"/>
        <w:rPr>
          <w:rFonts w:ascii="Times New Roman" w:hAnsi="Times New Roman" w:cs="Times New Roman"/>
          <w:sz w:val="24"/>
          <w:szCs w:val="24"/>
        </w:rPr>
      </w:pPr>
      <w:r>
        <w:rPr>
          <w:rFonts w:ascii="Times New Roman" w:hAnsi="Times New Roman" w:cs="Times New Roman"/>
          <w:sz w:val="24"/>
          <w:szCs w:val="24"/>
        </w:rPr>
        <w:t>C. Sequence of Events</w:t>
      </w:r>
    </w:p>
    <w:p w:rsidR="00B47C44" w:rsidRDefault="00B47C44" w:rsidP="00B47C44">
      <w:pPr>
        <w:jc w:val="both"/>
        <w:rPr>
          <w:rFonts w:ascii="Times New Roman" w:hAnsi="Times New Roman" w:cs="Times New Roman"/>
          <w:sz w:val="24"/>
          <w:szCs w:val="24"/>
        </w:rPr>
      </w:pPr>
      <w:r>
        <w:rPr>
          <w:rFonts w:ascii="Times New Roman" w:hAnsi="Times New Roman" w:cs="Times New Roman"/>
          <w:sz w:val="24"/>
          <w:szCs w:val="24"/>
        </w:rPr>
        <w:tab/>
        <w:t>In early 2017, the District began bargaining a n</w:t>
      </w:r>
      <w:r w:rsidR="000E2557">
        <w:rPr>
          <w:rFonts w:ascii="Times New Roman" w:hAnsi="Times New Roman" w:cs="Times New Roman"/>
          <w:sz w:val="24"/>
          <w:szCs w:val="24"/>
        </w:rPr>
        <w:t>ew contract with the CEA and MSEA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8"/>
      </w:r>
      <w:r>
        <w:rPr>
          <w:rFonts w:ascii="Times New Roman" w:hAnsi="Times New Roman" w:cs="Times New Roman"/>
          <w:sz w:val="24"/>
          <w:szCs w:val="24"/>
        </w:rPr>
        <w:t xml:space="preserve"> Included on the bargaining team for the Associations were David </w:t>
      </w:r>
      <w:proofErr w:type="spellStart"/>
      <w:r>
        <w:rPr>
          <w:rFonts w:ascii="Times New Roman" w:hAnsi="Times New Roman" w:cs="Times New Roman"/>
          <w:sz w:val="24"/>
          <w:szCs w:val="24"/>
        </w:rPr>
        <w:t>Theriault</w:t>
      </w:r>
      <w:proofErr w:type="spellEnd"/>
      <w:r>
        <w:rPr>
          <w:rFonts w:ascii="Times New Roman" w:hAnsi="Times New Roman" w:cs="Times New Roman"/>
          <w:sz w:val="24"/>
          <w:szCs w:val="24"/>
        </w:rPr>
        <w:t xml:space="preserve"> and Rob Boyer, </w:t>
      </w:r>
      <w:proofErr w:type="spellStart"/>
      <w:r>
        <w:rPr>
          <w:rFonts w:ascii="Times New Roman" w:hAnsi="Times New Roman" w:cs="Times New Roman"/>
          <w:sz w:val="24"/>
          <w:szCs w:val="24"/>
        </w:rPr>
        <w:t>Uniserve</w:t>
      </w:r>
      <w:proofErr w:type="spellEnd"/>
      <w:r>
        <w:rPr>
          <w:rFonts w:ascii="Times New Roman" w:hAnsi="Times New Roman" w:cs="Times New Roman"/>
          <w:sz w:val="24"/>
          <w:szCs w:val="24"/>
        </w:rPr>
        <w:t xml:space="preserve"> Directors for NEA-Alaska, an affiliate of both CEA and MSEA.</w:t>
      </w:r>
      <w:r>
        <w:rPr>
          <w:rStyle w:val="FootnoteReference"/>
          <w:rFonts w:ascii="Times New Roman" w:hAnsi="Times New Roman" w:cs="Times New Roman"/>
          <w:sz w:val="24"/>
          <w:szCs w:val="24"/>
        </w:rPr>
        <w:footnoteReference w:id="49"/>
      </w:r>
      <w:r>
        <w:rPr>
          <w:rFonts w:ascii="Times New Roman" w:hAnsi="Times New Roman" w:cs="Times New Roman"/>
          <w:sz w:val="24"/>
          <w:szCs w:val="24"/>
        </w:rPr>
        <w:t xml:space="preserve"> Their</w:t>
      </w:r>
      <w:r w:rsidR="00DE525A">
        <w:rPr>
          <w:rFonts w:ascii="Times New Roman" w:hAnsi="Times New Roman" w:cs="Times New Roman"/>
          <w:sz w:val="24"/>
          <w:szCs w:val="24"/>
        </w:rPr>
        <w:t xml:space="preserve"> role was to act as</w:t>
      </w:r>
      <w:r>
        <w:rPr>
          <w:rFonts w:ascii="Times New Roman" w:hAnsi="Times New Roman" w:cs="Times New Roman"/>
          <w:sz w:val="24"/>
          <w:szCs w:val="24"/>
        </w:rPr>
        <w:t xml:space="preserve"> advisor</w:t>
      </w:r>
      <w:r w:rsidR="00DE525A">
        <w:rPr>
          <w:rFonts w:ascii="Times New Roman" w:hAnsi="Times New Roman" w:cs="Times New Roman"/>
          <w:sz w:val="24"/>
          <w:szCs w:val="24"/>
        </w:rPr>
        <w:t>s</w:t>
      </w:r>
      <w:r>
        <w:rPr>
          <w:rFonts w:ascii="Times New Roman" w:hAnsi="Times New Roman" w:cs="Times New Roman"/>
          <w:sz w:val="24"/>
          <w:szCs w:val="24"/>
        </w:rPr>
        <w:t xml:space="preserve"> to the locals during bargaining.</w:t>
      </w:r>
      <w:r>
        <w:rPr>
          <w:rStyle w:val="FootnoteReference"/>
          <w:rFonts w:ascii="Times New Roman" w:hAnsi="Times New Roman" w:cs="Times New Roman"/>
          <w:sz w:val="24"/>
          <w:szCs w:val="24"/>
        </w:rPr>
        <w:footnoteReference w:id="50"/>
      </w:r>
      <w:r>
        <w:rPr>
          <w:rFonts w:ascii="Times New Roman" w:hAnsi="Times New Roman" w:cs="Times New Roman"/>
          <w:sz w:val="24"/>
          <w:szCs w:val="24"/>
        </w:rPr>
        <w:t xml:space="preserve"> CEA president, Karen Salisbury, was also on the bargaining team.</w:t>
      </w:r>
      <w:r>
        <w:rPr>
          <w:rStyle w:val="FootnoteReference"/>
          <w:rFonts w:ascii="Times New Roman" w:hAnsi="Times New Roman" w:cs="Times New Roman"/>
          <w:sz w:val="24"/>
          <w:szCs w:val="24"/>
        </w:rPr>
        <w:footnoteReference w:id="51"/>
      </w:r>
      <w:r>
        <w:rPr>
          <w:rFonts w:ascii="Times New Roman" w:hAnsi="Times New Roman" w:cs="Times New Roman"/>
          <w:sz w:val="24"/>
          <w:szCs w:val="24"/>
        </w:rPr>
        <w:t xml:space="preserve"> </w:t>
      </w:r>
    </w:p>
    <w:p w:rsidR="00B47C44" w:rsidRDefault="00B47C44" w:rsidP="00B47C44">
      <w:pPr>
        <w:jc w:val="both"/>
        <w:rPr>
          <w:rFonts w:ascii="Times New Roman" w:hAnsi="Times New Roman" w:cs="Times New Roman"/>
          <w:sz w:val="24"/>
          <w:szCs w:val="24"/>
        </w:rPr>
      </w:pPr>
      <w:r>
        <w:rPr>
          <w:rFonts w:ascii="Times New Roman" w:hAnsi="Times New Roman" w:cs="Times New Roman"/>
          <w:sz w:val="24"/>
          <w:szCs w:val="24"/>
        </w:rPr>
        <w:tab/>
        <w:t xml:space="preserve">On March 10, 2017, </w:t>
      </w:r>
      <w:proofErr w:type="spellStart"/>
      <w:r>
        <w:rPr>
          <w:rFonts w:ascii="Times New Roman" w:hAnsi="Times New Roman" w:cs="Times New Roman"/>
          <w:sz w:val="24"/>
          <w:szCs w:val="24"/>
        </w:rPr>
        <w:t>Kitter</w:t>
      </w:r>
      <w:proofErr w:type="spellEnd"/>
      <w:r>
        <w:rPr>
          <w:rFonts w:ascii="Times New Roman" w:hAnsi="Times New Roman" w:cs="Times New Roman"/>
          <w:sz w:val="24"/>
          <w:szCs w:val="24"/>
        </w:rPr>
        <w:t xml:space="preserve"> received a request from Segal Consulting stating that it had been retained by the District to conduct a pricing exercise on behalf of its Medical, Pharmacy, Dental and Vision programs and it sought information from the Trust.</w:t>
      </w:r>
      <w:r>
        <w:rPr>
          <w:rStyle w:val="FootnoteReference"/>
          <w:rFonts w:ascii="Times New Roman" w:hAnsi="Times New Roman" w:cs="Times New Roman"/>
          <w:sz w:val="24"/>
          <w:szCs w:val="24"/>
        </w:rPr>
        <w:footnoteReference w:id="52"/>
      </w:r>
      <w:r>
        <w:rPr>
          <w:rFonts w:ascii="Times New Roman" w:hAnsi="Times New Roman" w:cs="Times New Roman"/>
          <w:sz w:val="24"/>
          <w:szCs w:val="24"/>
        </w:rPr>
        <w:t xml:space="preserve"> </w:t>
      </w:r>
      <w:proofErr w:type="spellStart"/>
      <w:r>
        <w:rPr>
          <w:rFonts w:ascii="Times New Roman" w:hAnsi="Times New Roman" w:cs="Times New Roman"/>
          <w:sz w:val="24"/>
          <w:szCs w:val="24"/>
        </w:rPr>
        <w:t>Kitter</w:t>
      </w:r>
      <w:proofErr w:type="spellEnd"/>
      <w:r>
        <w:rPr>
          <w:rFonts w:ascii="Times New Roman" w:hAnsi="Times New Roman" w:cs="Times New Roman"/>
          <w:sz w:val="24"/>
          <w:szCs w:val="24"/>
        </w:rPr>
        <w:t xml:space="preserve"> responded to the request and supplied Segal with benefits summaries and rates, but advised Segal that “Trust policy prohibits the release of group specific claims and utilization data. The Trust claims experience is fully pooled and only reviewed in aggregate when setting plan rates.”</w:t>
      </w:r>
      <w:r>
        <w:rPr>
          <w:rStyle w:val="FootnoteReference"/>
          <w:rFonts w:ascii="Times New Roman" w:hAnsi="Times New Roman" w:cs="Times New Roman"/>
          <w:sz w:val="24"/>
          <w:szCs w:val="24"/>
        </w:rPr>
        <w:footnoteReference w:id="53"/>
      </w:r>
    </w:p>
    <w:p w:rsidR="00B47C44" w:rsidRDefault="00B47C44" w:rsidP="00284CFA">
      <w:pPr>
        <w:jc w:val="both"/>
        <w:rPr>
          <w:rFonts w:ascii="Times New Roman" w:hAnsi="Times New Roman" w:cs="Times New Roman"/>
          <w:sz w:val="24"/>
          <w:szCs w:val="24"/>
        </w:rPr>
      </w:pPr>
      <w:r>
        <w:rPr>
          <w:rFonts w:ascii="Times New Roman" w:hAnsi="Times New Roman" w:cs="Times New Roman"/>
          <w:sz w:val="24"/>
          <w:szCs w:val="24"/>
        </w:rPr>
        <w:tab/>
        <w:t>Segal renewed its request on April 17, 2017, for information on the entire Trust.</w:t>
      </w:r>
      <w:r>
        <w:rPr>
          <w:rStyle w:val="FootnoteReference"/>
          <w:rFonts w:ascii="Times New Roman" w:hAnsi="Times New Roman" w:cs="Times New Roman"/>
          <w:sz w:val="24"/>
          <w:szCs w:val="24"/>
        </w:rPr>
        <w:footnoteReference w:id="54"/>
      </w:r>
      <w:r>
        <w:rPr>
          <w:rFonts w:ascii="Times New Roman" w:hAnsi="Times New Roman" w:cs="Times New Roman"/>
          <w:sz w:val="24"/>
          <w:szCs w:val="24"/>
        </w:rPr>
        <w:t xml:space="preserve"> On April 25, </w:t>
      </w:r>
      <w:proofErr w:type="spellStart"/>
      <w:r>
        <w:rPr>
          <w:rFonts w:ascii="Times New Roman" w:hAnsi="Times New Roman" w:cs="Times New Roman"/>
          <w:sz w:val="24"/>
          <w:szCs w:val="24"/>
        </w:rPr>
        <w:t>Kitter</w:t>
      </w:r>
      <w:proofErr w:type="spellEnd"/>
      <w:r>
        <w:rPr>
          <w:rFonts w:ascii="Times New Roman" w:hAnsi="Times New Roman" w:cs="Times New Roman"/>
          <w:sz w:val="24"/>
          <w:szCs w:val="24"/>
        </w:rPr>
        <w:t xml:space="preserve"> responded and denied the request for the aggregate data for the entire Trust, as it was her interpretation that Segal only had authority to request information on the District</w:t>
      </w:r>
      <w:r w:rsidR="009B7555">
        <w:rPr>
          <w:rFonts w:ascii="Times New Roman" w:hAnsi="Times New Roman" w:cs="Times New Roman"/>
          <w:sz w:val="24"/>
          <w:szCs w:val="24"/>
        </w:rPr>
        <w:t xml:space="preserve"> administrative group</w:t>
      </w:r>
      <w:r w:rsidR="00C16C1D">
        <w:rPr>
          <w:rFonts w:ascii="Times New Roman" w:hAnsi="Times New Roman" w:cs="Times New Roman"/>
          <w:sz w:val="24"/>
          <w:szCs w:val="24"/>
        </w:rPr>
        <w:t>,</w:t>
      </w:r>
      <w:r w:rsidR="00C16C1D" w:rsidRPr="00C16C1D">
        <w:rPr>
          <w:rFonts w:ascii="Times New Roman" w:hAnsi="Times New Roman" w:cs="Times New Roman"/>
          <w:sz w:val="24"/>
          <w:szCs w:val="24"/>
        </w:rPr>
        <w:t xml:space="preserve"> </w:t>
      </w:r>
      <w:r w:rsidR="00C16C1D">
        <w:rPr>
          <w:rFonts w:ascii="Times New Roman" w:hAnsi="Times New Roman" w:cs="Times New Roman"/>
          <w:sz w:val="24"/>
          <w:szCs w:val="24"/>
        </w:rPr>
        <w:t>which is separate from the units represented by MSEA and CEA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5"/>
      </w:r>
      <w:r>
        <w:rPr>
          <w:rFonts w:ascii="Times New Roman" w:hAnsi="Times New Roman" w:cs="Times New Roman"/>
          <w:sz w:val="24"/>
          <w:szCs w:val="24"/>
        </w:rPr>
        <w:t xml:space="preserve"> Segal again requested the data on June 28, 2017.</w:t>
      </w:r>
      <w:r>
        <w:rPr>
          <w:rStyle w:val="FootnoteReference"/>
          <w:rFonts w:ascii="Times New Roman" w:hAnsi="Times New Roman" w:cs="Times New Roman"/>
          <w:sz w:val="24"/>
          <w:szCs w:val="24"/>
        </w:rPr>
        <w:footnoteReference w:id="56"/>
      </w:r>
      <w:r>
        <w:rPr>
          <w:rFonts w:ascii="Times New Roman" w:hAnsi="Times New Roman" w:cs="Times New Roman"/>
          <w:sz w:val="24"/>
          <w:szCs w:val="24"/>
        </w:rPr>
        <w:t xml:space="preserve"> In response to that request from Noel Cruse at Segal for the release of enrollment information, de-identified large claims, experience, and financials for the Trust, </w:t>
      </w:r>
      <w:proofErr w:type="spellStart"/>
      <w:r>
        <w:rPr>
          <w:rFonts w:ascii="Times New Roman" w:hAnsi="Times New Roman" w:cs="Times New Roman"/>
          <w:sz w:val="24"/>
          <w:szCs w:val="24"/>
        </w:rPr>
        <w:t>Kitter</w:t>
      </w:r>
      <w:proofErr w:type="spellEnd"/>
      <w:r>
        <w:rPr>
          <w:rFonts w:ascii="Times New Roman" w:hAnsi="Times New Roman" w:cs="Times New Roman"/>
          <w:sz w:val="24"/>
          <w:szCs w:val="24"/>
        </w:rPr>
        <w:t xml:space="preserve"> replied in an email, </w:t>
      </w:r>
    </w:p>
    <w:p w:rsidR="00B47C44" w:rsidRDefault="00B47C44" w:rsidP="00B47C44">
      <w:pPr>
        <w:spacing w:after="0" w:line="240" w:lineRule="auto"/>
        <w:ind w:left="720" w:right="1440" w:firstLine="720"/>
        <w:jc w:val="both"/>
        <w:rPr>
          <w:rFonts w:ascii="Times New Roman" w:hAnsi="Times New Roman" w:cs="Times New Roman"/>
          <w:sz w:val="24"/>
          <w:szCs w:val="24"/>
        </w:rPr>
      </w:pPr>
      <w:r>
        <w:rPr>
          <w:rFonts w:ascii="Times New Roman" w:hAnsi="Times New Roman" w:cs="Times New Roman"/>
          <w:sz w:val="24"/>
          <w:szCs w:val="24"/>
        </w:rPr>
        <w:t>Good afternoon Noel</w:t>
      </w:r>
    </w:p>
    <w:p w:rsidR="00B47C44" w:rsidRDefault="00B47C44" w:rsidP="00B47C44">
      <w:pPr>
        <w:spacing w:after="0" w:line="240" w:lineRule="auto"/>
        <w:ind w:left="1440" w:right="1440"/>
        <w:jc w:val="both"/>
        <w:rPr>
          <w:rFonts w:ascii="Times New Roman" w:hAnsi="Times New Roman" w:cs="Times New Roman"/>
          <w:sz w:val="24"/>
          <w:szCs w:val="24"/>
        </w:rPr>
      </w:pPr>
      <w:r>
        <w:rPr>
          <w:rFonts w:ascii="Times New Roman" w:hAnsi="Times New Roman" w:cs="Times New Roman"/>
          <w:sz w:val="24"/>
          <w:szCs w:val="24"/>
        </w:rPr>
        <w:lastRenderedPageBreak/>
        <w:t>The disconnect is that the other employees of the school district for which SEGAL is requesting data are directing the Trust to not release their data. They indicate they bargain dollars from their employer, not benefits nor plan designs and they have not engaged SEGAL to work on their behalf. The Trust has not been provided a broker of record lett</w:t>
      </w:r>
      <w:r w:rsidR="00DE525A">
        <w:rPr>
          <w:rFonts w:ascii="Times New Roman" w:hAnsi="Times New Roman" w:cs="Times New Roman"/>
          <w:sz w:val="24"/>
          <w:szCs w:val="24"/>
        </w:rPr>
        <w:t>er from them recognizing SEGAL a</w:t>
      </w:r>
      <w:r>
        <w:rPr>
          <w:rFonts w:ascii="Times New Roman" w:hAnsi="Times New Roman" w:cs="Times New Roman"/>
          <w:sz w:val="24"/>
          <w:szCs w:val="24"/>
        </w:rPr>
        <w:t>s their broker.</w:t>
      </w:r>
    </w:p>
    <w:p w:rsidR="00B47C44" w:rsidRDefault="00B47C44" w:rsidP="00B47C44">
      <w:pPr>
        <w:spacing w:after="0" w:line="240" w:lineRule="auto"/>
        <w:ind w:left="1440" w:right="1440" w:firstLine="720"/>
        <w:jc w:val="both"/>
        <w:rPr>
          <w:rFonts w:ascii="Times New Roman" w:hAnsi="Times New Roman" w:cs="Times New Roman"/>
          <w:sz w:val="24"/>
          <w:szCs w:val="24"/>
        </w:rPr>
      </w:pPr>
      <w:r>
        <w:rPr>
          <w:rFonts w:ascii="Times New Roman" w:hAnsi="Times New Roman" w:cs="Times New Roman"/>
          <w:sz w:val="24"/>
          <w:szCs w:val="24"/>
        </w:rPr>
        <w:t>The Trust has contracts with both of those units. Please submit your requests to them directly as it would not be appropriate for the Trust to release data on our other clients to a third party that they have not approved. The Trust has provided all other data that is available at this time.</w:t>
      </w:r>
      <w:r>
        <w:rPr>
          <w:rStyle w:val="FootnoteReference"/>
          <w:rFonts w:ascii="Times New Roman" w:hAnsi="Times New Roman" w:cs="Times New Roman"/>
          <w:sz w:val="24"/>
          <w:szCs w:val="24"/>
        </w:rPr>
        <w:footnoteReference w:id="57"/>
      </w:r>
    </w:p>
    <w:p w:rsidR="00B47C44" w:rsidRDefault="00B47C44" w:rsidP="00B47C44">
      <w:pPr>
        <w:spacing w:after="0" w:line="240" w:lineRule="auto"/>
        <w:ind w:left="1440" w:right="1440" w:firstLine="720"/>
        <w:jc w:val="both"/>
        <w:rPr>
          <w:rFonts w:ascii="Times New Roman" w:hAnsi="Times New Roman" w:cs="Times New Roman"/>
          <w:sz w:val="24"/>
          <w:szCs w:val="24"/>
        </w:rPr>
      </w:pPr>
    </w:p>
    <w:p w:rsidR="00B47C44" w:rsidRDefault="00B47C44" w:rsidP="00B47C44">
      <w:pPr>
        <w:jc w:val="both"/>
        <w:rPr>
          <w:rFonts w:ascii="Times New Roman" w:hAnsi="Times New Roman" w:cs="Times New Roman"/>
          <w:sz w:val="24"/>
          <w:szCs w:val="24"/>
        </w:rPr>
      </w:pPr>
      <w:r>
        <w:rPr>
          <w:rFonts w:ascii="Times New Roman" w:hAnsi="Times New Roman" w:cs="Times New Roman"/>
          <w:sz w:val="24"/>
          <w:szCs w:val="24"/>
        </w:rPr>
        <w:t xml:space="preserve">In her testimony </w:t>
      </w:r>
      <w:proofErr w:type="spellStart"/>
      <w:r>
        <w:rPr>
          <w:rFonts w:ascii="Times New Roman" w:hAnsi="Times New Roman" w:cs="Times New Roman"/>
          <w:sz w:val="24"/>
          <w:szCs w:val="24"/>
        </w:rPr>
        <w:t>Kitter</w:t>
      </w:r>
      <w:proofErr w:type="spellEnd"/>
      <w:r>
        <w:rPr>
          <w:rFonts w:ascii="Times New Roman" w:hAnsi="Times New Roman" w:cs="Times New Roman"/>
          <w:sz w:val="24"/>
          <w:szCs w:val="24"/>
        </w:rPr>
        <w:t xml:space="preserve"> explained that she had already provided Segal with the plan descriptions of the different plan designs that the Trust offers, census data for the administrative group of the District employees, those that Segal had provided a broker of record letter for, and specific information regarding stop-loss deductible.</w:t>
      </w:r>
      <w:r>
        <w:rPr>
          <w:rStyle w:val="FootnoteReference"/>
          <w:rFonts w:ascii="Times New Roman" w:hAnsi="Times New Roman" w:cs="Times New Roman"/>
          <w:sz w:val="24"/>
          <w:szCs w:val="24"/>
        </w:rPr>
        <w:footnoteReference w:id="58"/>
      </w:r>
      <w:r>
        <w:rPr>
          <w:rFonts w:ascii="Times New Roman" w:hAnsi="Times New Roman" w:cs="Times New Roman"/>
          <w:sz w:val="24"/>
          <w:szCs w:val="24"/>
        </w:rPr>
        <w:t xml:space="preserve"> Segal was not provided claims data, because that is never released.</w:t>
      </w:r>
      <w:r>
        <w:rPr>
          <w:rStyle w:val="FootnoteReference"/>
          <w:rFonts w:ascii="Times New Roman" w:hAnsi="Times New Roman" w:cs="Times New Roman"/>
          <w:sz w:val="24"/>
          <w:szCs w:val="24"/>
        </w:rPr>
        <w:footnoteReference w:id="59"/>
      </w:r>
      <w:r>
        <w:rPr>
          <w:rFonts w:ascii="Times New Roman" w:hAnsi="Times New Roman" w:cs="Times New Roman"/>
          <w:sz w:val="24"/>
          <w:szCs w:val="24"/>
        </w:rPr>
        <w:t xml:space="preserve"> But, Segal wanted census data on the employees of the Associations and </w:t>
      </w:r>
      <w:proofErr w:type="spellStart"/>
      <w:r>
        <w:rPr>
          <w:rFonts w:ascii="Times New Roman" w:hAnsi="Times New Roman" w:cs="Times New Roman"/>
          <w:sz w:val="24"/>
          <w:szCs w:val="24"/>
        </w:rPr>
        <w:t>Kitter</w:t>
      </w:r>
      <w:proofErr w:type="spellEnd"/>
      <w:r>
        <w:rPr>
          <w:rFonts w:ascii="Times New Roman" w:hAnsi="Times New Roman" w:cs="Times New Roman"/>
          <w:sz w:val="24"/>
          <w:szCs w:val="24"/>
        </w:rPr>
        <w:t xml:space="preserve"> required a broker of record letter from MSEA and CEA, which she did not receive.</w:t>
      </w:r>
      <w:r w:rsidR="000E3D3E">
        <w:rPr>
          <w:rStyle w:val="FootnoteReference"/>
          <w:rFonts w:ascii="Times New Roman" w:hAnsi="Times New Roman" w:cs="Times New Roman"/>
          <w:sz w:val="24"/>
          <w:szCs w:val="24"/>
        </w:rPr>
        <w:footnoteReference w:id="60"/>
      </w:r>
      <w:r>
        <w:rPr>
          <w:rFonts w:ascii="Times New Roman" w:hAnsi="Times New Roman" w:cs="Times New Roman"/>
          <w:sz w:val="24"/>
          <w:szCs w:val="24"/>
        </w:rPr>
        <w:t xml:space="preserve"> Consequently, she refused to release the data for MSEA and CEA employees.</w:t>
      </w:r>
      <w:r>
        <w:rPr>
          <w:rStyle w:val="FootnoteReference"/>
          <w:rFonts w:ascii="Times New Roman" w:hAnsi="Times New Roman" w:cs="Times New Roman"/>
          <w:sz w:val="24"/>
          <w:szCs w:val="24"/>
        </w:rPr>
        <w:footnoteReference w:id="61"/>
      </w:r>
    </w:p>
    <w:p w:rsidR="007B6BFC" w:rsidRDefault="00B47C44" w:rsidP="00B47C44">
      <w:pPr>
        <w:jc w:val="both"/>
        <w:rPr>
          <w:rFonts w:ascii="Times New Roman" w:hAnsi="Times New Roman" w:cs="Times New Roman"/>
          <w:sz w:val="24"/>
          <w:szCs w:val="24"/>
        </w:rPr>
      </w:pPr>
      <w:r>
        <w:rPr>
          <w:rFonts w:ascii="Times New Roman" w:hAnsi="Times New Roman" w:cs="Times New Roman"/>
          <w:sz w:val="24"/>
          <w:szCs w:val="24"/>
        </w:rPr>
        <w:tab/>
        <w:t>When the bargaining team was asked to provide the requested claims data to the District, the team was not sure how to respond to the request, and did not fully understand what information was being sought.</w:t>
      </w:r>
      <w:r>
        <w:rPr>
          <w:rStyle w:val="FootnoteReference"/>
          <w:rFonts w:ascii="Times New Roman" w:hAnsi="Times New Roman" w:cs="Times New Roman"/>
          <w:sz w:val="24"/>
          <w:szCs w:val="24"/>
        </w:rPr>
        <w:footnoteReference w:id="62"/>
      </w:r>
      <w:r>
        <w:rPr>
          <w:rFonts w:ascii="Times New Roman" w:hAnsi="Times New Roman" w:cs="Times New Roman"/>
          <w:sz w:val="24"/>
          <w:szCs w:val="24"/>
        </w:rPr>
        <w:t xml:space="preserve"> </w:t>
      </w:r>
      <w:proofErr w:type="spellStart"/>
      <w:r>
        <w:rPr>
          <w:rFonts w:ascii="Times New Roman" w:hAnsi="Times New Roman" w:cs="Times New Roman"/>
          <w:sz w:val="24"/>
          <w:szCs w:val="24"/>
        </w:rPr>
        <w:t>Theriault</w:t>
      </w:r>
      <w:proofErr w:type="spellEnd"/>
      <w:r>
        <w:rPr>
          <w:rFonts w:ascii="Times New Roman" w:hAnsi="Times New Roman" w:cs="Times New Roman"/>
          <w:sz w:val="24"/>
          <w:szCs w:val="24"/>
        </w:rPr>
        <w:t xml:space="preserve"> testified that he </w:t>
      </w:r>
      <w:r w:rsidRPr="0058510D">
        <w:rPr>
          <w:rFonts w:ascii="Times New Roman" w:hAnsi="Times New Roman" w:cs="Times New Roman"/>
          <w:sz w:val="24"/>
          <w:szCs w:val="24"/>
        </w:rPr>
        <w:t>remains confused about what would have to be</w:t>
      </w:r>
      <w:r w:rsidR="00150CDD">
        <w:rPr>
          <w:rFonts w:ascii="Times New Roman" w:hAnsi="Times New Roman" w:cs="Times New Roman"/>
          <w:sz w:val="24"/>
          <w:szCs w:val="24"/>
        </w:rPr>
        <w:t xml:space="preserve"> provided if C</w:t>
      </w:r>
      <w:r>
        <w:rPr>
          <w:rFonts w:ascii="Times New Roman" w:hAnsi="Times New Roman" w:cs="Times New Roman"/>
          <w:sz w:val="24"/>
          <w:szCs w:val="24"/>
        </w:rPr>
        <w:t>EA is required to provide the information.</w:t>
      </w:r>
      <w:r>
        <w:rPr>
          <w:rStyle w:val="FootnoteReference"/>
          <w:rFonts w:ascii="Times New Roman" w:hAnsi="Times New Roman" w:cs="Times New Roman"/>
          <w:sz w:val="24"/>
          <w:szCs w:val="24"/>
        </w:rPr>
        <w:footnoteReference w:id="63"/>
      </w:r>
      <w:r>
        <w:rPr>
          <w:rFonts w:ascii="Times New Roman" w:hAnsi="Times New Roman" w:cs="Times New Roman"/>
          <w:sz w:val="24"/>
          <w:szCs w:val="24"/>
        </w:rPr>
        <w:t xml:space="preserve"> The team reached out to </w:t>
      </w:r>
      <w:proofErr w:type="spellStart"/>
      <w:r>
        <w:rPr>
          <w:rFonts w:ascii="Times New Roman" w:hAnsi="Times New Roman" w:cs="Times New Roman"/>
          <w:sz w:val="24"/>
          <w:szCs w:val="24"/>
        </w:rPr>
        <w:t>Kitter</w:t>
      </w:r>
      <w:proofErr w:type="spellEnd"/>
      <w:r>
        <w:rPr>
          <w:rFonts w:ascii="Times New Roman" w:hAnsi="Times New Roman" w:cs="Times New Roman"/>
          <w:sz w:val="24"/>
          <w:szCs w:val="24"/>
        </w:rPr>
        <w:t xml:space="preserve"> for clarification on the nature of the information the District was requesting.</w:t>
      </w:r>
      <w:r>
        <w:rPr>
          <w:rStyle w:val="FootnoteReference"/>
          <w:rFonts w:ascii="Times New Roman" w:hAnsi="Times New Roman" w:cs="Times New Roman"/>
          <w:sz w:val="24"/>
          <w:szCs w:val="24"/>
        </w:rPr>
        <w:footnoteReference w:id="64"/>
      </w:r>
      <w:r>
        <w:rPr>
          <w:rFonts w:ascii="Times New Roman" w:hAnsi="Times New Roman" w:cs="Times New Roman"/>
          <w:sz w:val="24"/>
          <w:szCs w:val="24"/>
        </w:rPr>
        <w:t xml:space="preserve"> </w:t>
      </w:r>
      <w:r w:rsidR="00315FFE">
        <w:rPr>
          <w:rFonts w:ascii="Times New Roman" w:hAnsi="Times New Roman" w:cs="Times New Roman"/>
          <w:sz w:val="24"/>
          <w:szCs w:val="24"/>
        </w:rPr>
        <w:t>Salisbury had received calls from bargaining unit members either expressing concern over releasing the information, or requesting it be released.</w:t>
      </w:r>
      <w:r w:rsidR="00315FFE">
        <w:rPr>
          <w:rStyle w:val="FootnoteReference"/>
          <w:rFonts w:ascii="Times New Roman" w:hAnsi="Times New Roman" w:cs="Times New Roman"/>
          <w:sz w:val="24"/>
          <w:szCs w:val="24"/>
        </w:rPr>
        <w:footnoteReference w:id="65"/>
      </w:r>
      <w:r w:rsidR="00315FFE">
        <w:rPr>
          <w:rFonts w:ascii="Times New Roman" w:hAnsi="Times New Roman" w:cs="Times New Roman"/>
          <w:sz w:val="24"/>
          <w:szCs w:val="24"/>
        </w:rPr>
        <w:t xml:space="preserve"> Salisbury asked </w:t>
      </w:r>
      <w:proofErr w:type="spellStart"/>
      <w:r w:rsidR="00315FFE">
        <w:rPr>
          <w:rFonts w:ascii="Times New Roman" w:hAnsi="Times New Roman" w:cs="Times New Roman"/>
          <w:sz w:val="24"/>
          <w:szCs w:val="24"/>
        </w:rPr>
        <w:t>Kitter</w:t>
      </w:r>
      <w:proofErr w:type="spellEnd"/>
      <w:r w:rsidR="00315FFE">
        <w:rPr>
          <w:rFonts w:ascii="Times New Roman" w:hAnsi="Times New Roman" w:cs="Times New Roman"/>
          <w:sz w:val="24"/>
          <w:szCs w:val="24"/>
        </w:rPr>
        <w:t xml:space="preserve"> to provide her with Salisbury’s claims data and </w:t>
      </w:r>
      <w:proofErr w:type="spellStart"/>
      <w:r w:rsidR="00315FFE">
        <w:rPr>
          <w:rFonts w:ascii="Times New Roman" w:hAnsi="Times New Roman" w:cs="Times New Roman"/>
          <w:sz w:val="24"/>
          <w:szCs w:val="24"/>
        </w:rPr>
        <w:t>Kitter</w:t>
      </w:r>
      <w:proofErr w:type="spellEnd"/>
      <w:r w:rsidR="00315FFE">
        <w:rPr>
          <w:rFonts w:ascii="Times New Roman" w:hAnsi="Times New Roman" w:cs="Times New Roman"/>
          <w:sz w:val="24"/>
          <w:szCs w:val="24"/>
        </w:rPr>
        <w:t xml:space="preserve"> would not provide it, but explained to Salisbury how to pull the information for herself.</w:t>
      </w:r>
      <w:r w:rsidR="00315FFE">
        <w:rPr>
          <w:rStyle w:val="FootnoteReference"/>
          <w:rFonts w:ascii="Times New Roman" w:hAnsi="Times New Roman" w:cs="Times New Roman"/>
          <w:sz w:val="24"/>
          <w:szCs w:val="24"/>
        </w:rPr>
        <w:footnoteReference w:id="66"/>
      </w:r>
      <w:r w:rsidR="00315FFE">
        <w:rPr>
          <w:rFonts w:ascii="Times New Roman" w:hAnsi="Times New Roman" w:cs="Times New Roman"/>
          <w:sz w:val="24"/>
          <w:szCs w:val="24"/>
        </w:rPr>
        <w:t xml:space="preserve"> </w:t>
      </w:r>
    </w:p>
    <w:p w:rsidR="00B47C44" w:rsidRDefault="00B47C44" w:rsidP="007B6BFC">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Theriault</w:t>
      </w:r>
      <w:proofErr w:type="spellEnd"/>
      <w:r>
        <w:rPr>
          <w:rFonts w:ascii="Times New Roman" w:hAnsi="Times New Roman" w:cs="Times New Roman"/>
          <w:sz w:val="24"/>
          <w:szCs w:val="24"/>
        </w:rPr>
        <w:t xml:space="preserve"> testified that he believed the locals could either request the information from the Trust, or choose not to request the information.</w:t>
      </w:r>
      <w:r>
        <w:rPr>
          <w:rStyle w:val="FootnoteReference"/>
          <w:rFonts w:ascii="Times New Roman" w:hAnsi="Times New Roman" w:cs="Times New Roman"/>
          <w:sz w:val="24"/>
          <w:szCs w:val="24"/>
        </w:rPr>
        <w:footnoteReference w:id="67"/>
      </w:r>
      <w:r>
        <w:rPr>
          <w:rFonts w:ascii="Times New Roman" w:hAnsi="Times New Roman" w:cs="Times New Roman"/>
          <w:sz w:val="24"/>
          <w:szCs w:val="24"/>
        </w:rPr>
        <w:t xml:space="preserve"> In conversations with </w:t>
      </w:r>
      <w:proofErr w:type="spellStart"/>
      <w:r>
        <w:rPr>
          <w:rFonts w:ascii="Times New Roman" w:hAnsi="Times New Roman" w:cs="Times New Roman"/>
          <w:sz w:val="24"/>
          <w:szCs w:val="24"/>
        </w:rPr>
        <w:t>Kitter</w:t>
      </w:r>
      <w:proofErr w:type="spellEnd"/>
      <w:r>
        <w:rPr>
          <w:rFonts w:ascii="Times New Roman" w:hAnsi="Times New Roman" w:cs="Times New Roman"/>
          <w:sz w:val="24"/>
          <w:szCs w:val="24"/>
        </w:rPr>
        <w:t xml:space="preserve">, the bargaining team had been told that </w:t>
      </w:r>
      <w:proofErr w:type="spellStart"/>
      <w:r>
        <w:rPr>
          <w:rFonts w:ascii="Times New Roman" w:hAnsi="Times New Roman" w:cs="Times New Roman"/>
          <w:sz w:val="24"/>
          <w:szCs w:val="24"/>
        </w:rPr>
        <w:t>Kitter</w:t>
      </w:r>
      <w:proofErr w:type="spellEnd"/>
      <w:r>
        <w:rPr>
          <w:rFonts w:ascii="Times New Roman" w:hAnsi="Times New Roman" w:cs="Times New Roman"/>
          <w:sz w:val="24"/>
          <w:szCs w:val="24"/>
        </w:rPr>
        <w:t xml:space="preserve"> would not be able to release the information sought, so the bargaining team weighed whether it should formally make the request to receive a formal answer from the </w:t>
      </w:r>
      <w:r>
        <w:rPr>
          <w:rFonts w:ascii="Times New Roman" w:hAnsi="Times New Roman" w:cs="Times New Roman"/>
          <w:sz w:val="24"/>
          <w:szCs w:val="24"/>
        </w:rPr>
        <w:lastRenderedPageBreak/>
        <w:t>Trust.</w:t>
      </w:r>
      <w:r>
        <w:rPr>
          <w:rStyle w:val="FootnoteReference"/>
          <w:rFonts w:ascii="Times New Roman" w:hAnsi="Times New Roman" w:cs="Times New Roman"/>
          <w:sz w:val="24"/>
          <w:szCs w:val="24"/>
        </w:rPr>
        <w:footnoteReference w:id="68"/>
      </w:r>
      <w:r>
        <w:rPr>
          <w:rFonts w:ascii="Times New Roman" w:hAnsi="Times New Roman" w:cs="Times New Roman"/>
          <w:sz w:val="24"/>
          <w:szCs w:val="24"/>
        </w:rPr>
        <w:t xml:space="preserve"> If they did request the information, they considered whether there were parts of the information that they should not request.</w:t>
      </w:r>
      <w:r>
        <w:rPr>
          <w:rStyle w:val="FootnoteReference"/>
          <w:rFonts w:ascii="Times New Roman" w:hAnsi="Times New Roman" w:cs="Times New Roman"/>
          <w:sz w:val="24"/>
          <w:szCs w:val="24"/>
        </w:rPr>
        <w:footnoteReference w:id="69"/>
      </w:r>
      <w:r>
        <w:rPr>
          <w:rFonts w:ascii="Times New Roman" w:hAnsi="Times New Roman" w:cs="Times New Roman"/>
          <w:sz w:val="24"/>
          <w:szCs w:val="24"/>
        </w:rPr>
        <w:t xml:space="preserve"> </w:t>
      </w:r>
    </w:p>
    <w:p w:rsidR="00B47C44" w:rsidRDefault="00B47C44" w:rsidP="00B47C44">
      <w:pPr>
        <w:ind w:firstLine="720"/>
        <w:jc w:val="both"/>
        <w:rPr>
          <w:rFonts w:ascii="Times New Roman" w:hAnsi="Times New Roman" w:cs="Times New Roman"/>
          <w:sz w:val="24"/>
          <w:szCs w:val="24"/>
        </w:rPr>
      </w:pPr>
      <w:r>
        <w:rPr>
          <w:rFonts w:ascii="Times New Roman" w:hAnsi="Times New Roman" w:cs="Times New Roman"/>
          <w:sz w:val="24"/>
          <w:szCs w:val="24"/>
        </w:rPr>
        <w:t>There was no consensus among the bargaining team, but the team determined that a request for this type of infor</w:t>
      </w:r>
      <w:r w:rsidR="00315FFE">
        <w:rPr>
          <w:rFonts w:ascii="Times New Roman" w:hAnsi="Times New Roman" w:cs="Times New Roman"/>
          <w:sz w:val="24"/>
          <w:szCs w:val="24"/>
        </w:rPr>
        <w:t>mation should come from the CEA</w:t>
      </w:r>
      <w:r>
        <w:rPr>
          <w:rFonts w:ascii="Times New Roman" w:hAnsi="Times New Roman" w:cs="Times New Roman"/>
          <w:sz w:val="24"/>
          <w:szCs w:val="24"/>
        </w:rPr>
        <w:t xml:space="preserve"> executive board.</w:t>
      </w:r>
      <w:r>
        <w:rPr>
          <w:rStyle w:val="FootnoteReference"/>
          <w:rFonts w:ascii="Times New Roman" w:hAnsi="Times New Roman" w:cs="Times New Roman"/>
          <w:sz w:val="24"/>
          <w:szCs w:val="24"/>
        </w:rPr>
        <w:footnoteReference w:id="70"/>
      </w:r>
      <w:r>
        <w:rPr>
          <w:rFonts w:ascii="Times New Roman" w:hAnsi="Times New Roman" w:cs="Times New Roman"/>
          <w:sz w:val="24"/>
          <w:szCs w:val="24"/>
        </w:rPr>
        <w:t xml:space="preserve"> </w:t>
      </w:r>
      <w:r w:rsidR="00C557BE">
        <w:rPr>
          <w:rFonts w:ascii="Times New Roman" w:hAnsi="Times New Roman" w:cs="Times New Roman"/>
          <w:sz w:val="24"/>
          <w:szCs w:val="24"/>
        </w:rPr>
        <w:t xml:space="preserve">Salisbury </w:t>
      </w:r>
      <w:r w:rsidR="00D006FA">
        <w:rPr>
          <w:rFonts w:ascii="Times New Roman" w:hAnsi="Times New Roman" w:cs="Times New Roman"/>
          <w:sz w:val="24"/>
          <w:szCs w:val="24"/>
        </w:rPr>
        <w:t xml:space="preserve">testified that she </w:t>
      </w:r>
      <w:r w:rsidR="00C557BE">
        <w:rPr>
          <w:rFonts w:ascii="Times New Roman" w:hAnsi="Times New Roman" w:cs="Times New Roman"/>
          <w:sz w:val="24"/>
          <w:szCs w:val="24"/>
        </w:rPr>
        <w:t>had planned to take the request to the CEA board</w:t>
      </w:r>
      <w:r w:rsidR="00D006FA">
        <w:rPr>
          <w:rFonts w:ascii="Times New Roman" w:hAnsi="Times New Roman" w:cs="Times New Roman"/>
          <w:sz w:val="24"/>
          <w:szCs w:val="24"/>
        </w:rPr>
        <w:t xml:space="preserve"> because she believed the governing body had the authority to request this type of information</w:t>
      </w:r>
      <w:r w:rsidR="00C557BE">
        <w:rPr>
          <w:rFonts w:ascii="Times New Roman" w:hAnsi="Times New Roman" w:cs="Times New Roman"/>
          <w:sz w:val="24"/>
          <w:szCs w:val="24"/>
        </w:rPr>
        <w:t>.</w:t>
      </w:r>
      <w:r w:rsidR="00D006FA">
        <w:rPr>
          <w:rStyle w:val="FootnoteReference"/>
          <w:rFonts w:ascii="Times New Roman" w:hAnsi="Times New Roman" w:cs="Times New Roman"/>
          <w:sz w:val="24"/>
          <w:szCs w:val="24"/>
        </w:rPr>
        <w:footnoteReference w:id="71"/>
      </w:r>
      <w:r w:rsidR="00C557BE">
        <w:rPr>
          <w:rFonts w:ascii="Times New Roman" w:hAnsi="Times New Roman" w:cs="Times New Roman"/>
          <w:sz w:val="24"/>
          <w:szCs w:val="24"/>
        </w:rPr>
        <w:t xml:space="preserve"> </w:t>
      </w:r>
      <w:r>
        <w:rPr>
          <w:rFonts w:ascii="Times New Roman" w:hAnsi="Times New Roman" w:cs="Times New Roman"/>
          <w:sz w:val="24"/>
          <w:szCs w:val="24"/>
        </w:rPr>
        <w:t xml:space="preserve">In order to prepare to take the request to their executive board, </w:t>
      </w:r>
      <w:proofErr w:type="spellStart"/>
      <w:r>
        <w:rPr>
          <w:rFonts w:ascii="Times New Roman" w:hAnsi="Times New Roman" w:cs="Times New Roman"/>
          <w:sz w:val="24"/>
          <w:szCs w:val="24"/>
        </w:rPr>
        <w:t>Theriault</w:t>
      </w:r>
      <w:proofErr w:type="spellEnd"/>
      <w:r>
        <w:rPr>
          <w:rFonts w:ascii="Times New Roman" w:hAnsi="Times New Roman" w:cs="Times New Roman"/>
          <w:sz w:val="24"/>
          <w:szCs w:val="24"/>
        </w:rPr>
        <w:t xml:space="preserve"> sent an email to </w:t>
      </w:r>
      <w:proofErr w:type="spellStart"/>
      <w:r>
        <w:rPr>
          <w:rFonts w:ascii="Times New Roman" w:hAnsi="Times New Roman" w:cs="Times New Roman"/>
          <w:sz w:val="24"/>
          <w:szCs w:val="24"/>
        </w:rPr>
        <w:t>Kitter</w:t>
      </w:r>
      <w:proofErr w:type="spellEnd"/>
      <w:r>
        <w:rPr>
          <w:rFonts w:ascii="Times New Roman" w:hAnsi="Times New Roman" w:cs="Times New Roman"/>
          <w:sz w:val="24"/>
          <w:szCs w:val="24"/>
        </w:rPr>
        <w:t xml:space="preserve"> asking about the Trust’s policy regarding releasing the data to the District.</w:t>
      </w:r>
      <w:r>
        <w:rPr>
          <w:rStyle w:val="FootnoteReference"/>
          <w:rFonts w:ascii="Times New Roman" w:hAnsi="Times New Roman" w:cs="Times New Roman"/>
          <w:sz w:val="24"/>
          <w:szCs w:val="24"/>
        </w:rPr>
        <w:footnoteReference w:id="72"/>
      </w:r>
      <w:r>
        <w:rPr>
          <w:rFonts w:ascii="Times New Roman" w:hAnsi="Times New Roman" w:cs="Times New Roman"/>
          <w:sz w:val="24"/>
          <w:szCs w:val="24"/>
        </w:rPr>
        <w:t xml:space="preserve"> In an email dated September 5, 2017, David </w:t>
      </w:r>
      <w:proofErr w:type="spellStart"/>
      <w:r>
        <w:rPr>
          <w:rFonts w:ascii="Times New Roman" w:hAnsi="Times New Roman" w:cs="Times New Roman"/>
          <w:sz w:val="24"/>
          <w:szCs w:val="24"/>
        </w:rPr>
        <w:t>Theriault</w:t>
      </w:r>
      <w:proofErr w:type="spellEnd"/>
      <w:r>
        <w:rPr>
          <w:rFonts w:ascii="Times New Roman" w:hAnsi="Times New Roman" w:cs="Times New Roman"/>
          <w:sz w:val="24"/>
          <w:szCs w:val="24"/>
        </w:rPr>
        <w:t xml:space="preserve"> specifically asked </w:t>
      </w:r>
      <w:proofErr w:type="spellStart"/>
      <w:r>
        <w:rPr>
          <w:rFonts w:ascii="Times New Roman" w:hAnsi="Times New Roman" w:cs="Times New Roman"/>
          <w:sz w:val="24"/>
          <w:szCs w:val="24"/>
        </w:rPr>
        <w:t>Kitter</w:t>
      </w:r>
      <w:proofErr w:type="spellEnd"/>
      <w:r>
        <w:rPr>
          <w:rFonts w:ascii="Times New Roman" w:hAnsi="Times New Roman" w:cs="Times New Roman"/>
          <w:sz w:val="24"/>
          <w:szCs w:val="24"/>
        </w:rPr>
        <w:t xml:space="preserve">, </w:t>
      </w:r>
    </w:p>
    <w:p w:rsidR="00B47C44" w:rsidRDefault="00B47C44" w:rsidP="00B47C44">
      <w:pPr>
        <w:ind w:left="720" w:right="720"/>
        <w:jc w:val="both"/>
        <w:rPr>
          <w:rFonts w:ascii="Times New Roman" w:hAnsi="Times New Roman" w:cs="Times New Roman"/>
          <w:sz w:val="24"/>
          <w:szCs w:val="24"/>
        </w:rPr>
      </w:pPr>
      <w:r>
        <w:rPr>
          <w:rFonts w:ascii="Times New Roman" w:hAnsi="Times New Roman" w:cs="Times New Roman"/>
          <w:sz w:val="24"/>
          <w:szCs w:val="24"/>
        </w:rPr>
        <w:t>In previous conversations, you have said that the Trust does not release claims information. To be able to best advise both the MSEA and CEA bargaining teams, it is helpful to know the basis for the Trust’s policy of not releasing this information. It would be particularly helpful if you can direct me to specific language in Trust policy or law that can be shared with both bargaining teams and, possibly, the District. It would also be helpful to know if the Trust’s policy is similar to other health insurance providers.</w:t>
      </w:r>
      <w:r>
        <w:rPr>
          <w:rStyle w:val="FootnoteReference"/>
          <w:rFonts w:ascii="Times New Roman" w:hAnsi="Times New Roman" w:cs="Times New Roman"/>
          <w:sz w:val="24"/>
          <w:szCs w:val="24"/>
        </w:rPr>
        <w:footnoteReference w:id="73"/>
      </w:r>
      <w:r>
        <w:rPr>
          <w:rFonts w:ascii="Times New Roman" w:hAnsi="Times New Roman" w:cs="Times New Roman"/>
          <w:sz w:val="24"/>
          <w:szCs w:val="24"/>
        </w:rPr>
        <w:t xml:space="preserve">  </w:t>
      </w:r>
    </w:p>
    <w:p w:rsidR="00B47C44" w:rsidRDefault="00B47C44" w:rsidP="00B47C44">
      <w:pPr>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w:t>
      </w:r>
      <w:proofErr w:type="spellStart"/>
      <w:r>
        <w:rPr>
          <w:rFonts w:ascii="Times New Roman" w:hAnsi="Times New Roman" w:cs="Times New Roman"/>
          <w:sz w:val="24"/>
          <w:szCs w:val="24"/>
        </w:rPr>
        <w:t>Kitter</w:t>
      </w:r>
      <w:proofErr w:type="spellEnd"/>
      <w:r>
        <w:rPr>
          <w:rFonts w:ascii="Times New Roman" w:hAnsi="Times New Roman" w:cs="Times New Roman"/>
          <w:sz w:val="24"/>
          <w:szCs w:val="24"/>
        </w:rPr>
        <w:t xml:space="preserve"> stated, “Without a broker of record letter from CEA and MSEA, naming Segal as their consultants, the Trust will not provide the claims data to Segal.</w:t>
      </w:r>
      <w:r>
        <w:rPr>
          <w:rStyle w:val="FootnoteReference"/>
          <w:rFonts w:ascii="Times New Roman" w:hAnsi="Times New Roman" w:cs="Times New Roman"/>
          <w:sz w:val="24"/>
          <w:szCs w:val="24"/>
        </w:rPr>
        <w:footnoteReference w:id="74"/>
      </w:r>
      <w:r>
        <w:rPr>
          <w:rFonts w:ascii="Times New Roman" w:hAnsi="Times New Roman" w:cs="Times New Roman"/>
          <w:sz w:val="24"/>
          <w:szCs w:val="24"/>
        </w:rPr>
        <w:t xml:space="preserve">  After that, CEA and MSEA did not follow up with </w:t>
      </w:r>
      <w:proofErr w:type="spellStart"/>
      <w:r>
        <w:rPr>
          <w:rFonts w:ascii="Times New Roman" w:hAnsi="Times New Roman" w:cs="Times New Roman"/>
          <w:sz w:val="24"/>
          <w:szCs w:val="24"/>
        </w:rPr>
        <w:t>Kitter</w:t>
      </w:r>
      <w:proofErr w:type="spellEnd"/>
      <w:r>
        <w:rPr>
          <w:rFonts w:ascii="Times New Roman" w:hAnsi="Times New Roman" w:cs="Times New Roman"/>
          <w:sz w:val="24"/>
          <w:szCs w:val="24"/>
        </w:rPr>
        <w:t xml:space="preserve"> further to seek the information.</w:t>
      </w:r>
      <w:r>
        <w:rPr>
          <w:rStyle w:val="FootnoteReference"/>
          <w:rFonts w:ascii="Times New Roman" w:hAnsi="Times New Roman" w:cs="Times New Roman"/>
          <w:sz w:val="24"/>
          <w:szCs w:val="24"/>
        </w:rPr>
        <w:footnoteReference w:id="75"/>
      </w:r>
    </w:p>
    <w:p w:rsidR="00B47C44" w:rsidRDefault="00B47C44" w:rsidP="00B47C44">
      <w:pPr>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Kitter</w:t>
      </w:r>
      <w:proofErr w:type="spellEnd"/>
      <w:r>
        <w:rPr>
          <w:rFonts w:ascii="Times New Roman" w:hAnsi="Times New Roman" w:cs="Times New Roman"/>
          <w:sz w:val="24"/>
          <w:szCs w:val="24"/>
        </w:rPr>
        <w:t xml:space="preserve"> testified that she never had a conversation with CEA or MSEA about releasing claims data and that neither union ever told </w:t>
      </w:r>
      <w:proofErr w:type="spellStart"/>
      <w:r>
        <w:rPr>
          <w:rFonts w:ascii="Times New Roman" w:hAnsi="Times New Roman" w:cs="Times New Roman"/>
          <w:sz w:val="24"/>
          <w:szCs w:val="24"/>
        </w:rPr>
        <w:t>Kitter</w:t>
      </w:r>
      <w:proofErr w:type="spellEnd"/>
      <w:r>
        <w:rPr>
          <w:rFonts w:ascii="Times New Roman" w:hAnsi="Times New Roman" w:cs="Times New Roman"/>
          <w:sz w:val="24"/>
          <w:szCs w:val="24"/>
        </w:rPr>
        <w:t xml:space="preserve"> not to release the data.</w:t>
      </w:r>
      <w:r>
        <w:rPr>
          <w:rStyle w:val="FootnoteReference"/>
          <w:rFonts w:ascii="Times New Roman" w:hAnsi="Times New Roman" w:cs="Times New Roman"/>
          <w:sz w:val="24"/>
          <w:szCs w:val="24"/>
        </w:rPr>
        <w:footnoteReference w:id="76"/>
      </w:r>
      <w:r>
        <w:rPr>
          <w:rFonts w:ascii="Times New Roman" w:hAnsi="Times New Roman" w:cs="Times New Roman"/>
          <w:sz w:val="24"/>
          <w:szCs w:val="24"/>
        </w:rPr>
        <w:t xml:space="preserve"> </w:t>
      </w:r>
      <w:proofErr w:type="spellStart"/>
      <w:r>
        <w:rPr>
          <w:rFonts w:ascii="Times New Roman" w:hAnsi="Times New Roman" w:cs="Times New Roman"/>
          <w:sz w:val="24"/>
          <w:szCs w:val="24"/>
        </w:rPr>
        <w:t>Kitter</w:t>
      </w:r>
      <w:proofErr w:type="spellEnd"/>
      <w:r>
        <w:rPr>
          <w:rFonts w:ascii="Times New Roman" w:hAnsi="Times New Roman" w:cs="Times New Roman"/>
          <w:sz w:val="24"/>
          <w:szCs w:val="24"/>
        </w:rPr>
        <w:t xml:space="preserve"> acknowledged at the hearing that the wording of her email was imprecise.</w:t>
      </w:r>
      <w:r>
        <w:rPr>
          <w:rStyle w:val="FootnoteReference"/>
          <w:rFonts w:ascii="Times New Roman" w:hAnsi="Times New Roman" w:cs="Times New Roman"/>
          <w:sz w:val="24"/>
          <w:szCs w:val="24"/>
        </w:rPr>
        <w:footnoteReference w:id="77"/>
      </w:r>
      <w:r>
        <w:rPr>
          <w:rFonts w:ascii="Times New Roman" w:hAnsi="Times New Roman" w:cs="Times New Roman"/>
          <w:sz w:val="24"/>
          <w:szCs w:val="24"/>
        </w:rPr>
        <w:t xml:space="preserve"> </w:t>
      </w:r>
      <w:proofErr w:type="spellStart"/>
      <w:r>
        <w:rPr>
          <w:rFonts w:ascii="Times New Roman" w:hAnsi="Times New Roman" w:cs="Times New Roman"/>
          <w:sz w:val="24"/>
          <w:szCs w:val="24"/>
        </w:rPr>
        <w:t>Kitter</w:t>
      </w:r>
      <w:proofErr w:type="spellEnd"/>
      <w:r>
        <w:rPr>
          <w:rFonts w:ascii="Times New Roman" w:hAnsi="Times New Roman" w:cs="Times New Roman"/>
          <w:sz w:val="24"/>
          <w:szCs w:val="24"/>
        </w:rPr>
        <w:t xml:space="preserve"> clarified that in her response to </w:t>
      </w:r>
      <w:proofErr w:type="spellStart"/>
      <w:r>
        <w:rPr>
          <w:rFonts w:ascii="Times New Roman" w:hAnsi="Times New Roman" w:cs="Times New Roman"/>
          <w:sz w:val="24"/>
          <w:szCs w:val="24"/>
        </w:rPr>
        <w:t>Theriault</w:t>
      </w:r>
      <w:proofErr w:type="spellEnd"/>
      <w:r w:rsidR="008365E0">
        <w:rPr>
          <w:rFonts w:ascii="Times New Roman" w:hAnsi="Times New Roman" w:cs="Times New Roman"/>
          <w:sz w:val="24"/>
          <w:szCs w:val="24"/>
        </w:rPr>
        <w:t>, that she did not intend to convey</w:t>
      </w:r>
      <w:r>
        <w:rPr>
          <w:rFonts w:ascii="Times New Roman" w:hAnsi="Times New Roman" w:cs="Times New Roman"/>
          <w:sz w:val="24"/>
          <w:szCs w:val="24"/>
        </w:rPr>
        <w:t xml:space="preserve"> that MSEA and CEA had refused to provide claims data, but that the Trust was not providing the census data because there was no broker of record letter.</w:t>
      </w:r>
      <w:r>
        <w:rPr>
          <w:rStyle w:val="FootnoteReference"/>
          <w:rFonts w:ascii="Times New Roman" w:hAnsi="Times New Roman" w:cs="Times New Roman"/>
          <w:sz w:val="24"/>
          <w:szCs w:val="24"/>
        </w:rPr>
        <w:footnoteReference w:id="78"/>
      </w:r>
      <w:r>
        <w:rPr>
          <w:rFonts w:ascii="Times New Roman" w:hAnsi="Times New Roman" w:cs="Times New Roman"/>
          <w:sz w:val="24"/>
          <w:szCs w:val="24"/>
        </w:rPr>
        <w:t xml:space="preserve"> She clarified that because </w:t>
      </w:r>
      <w:r w:rsidR="007408BF">
        <w:rPr>
          <w:rFonts w:ascii="Times New Roman" w:hAnsi="Times New Roman" w:cs="Times New Roman"/>
          <w:sz w:val="24"/>
          <w:szCs w:val="24"/>
        </w:rPr>
        <w:t>Segal</w:t>
      </w:r>
      <w:r>
        <w:rPr>
          <w:rFonts w:ascii="Times New Roman" w:hAnsi="Times New Roman" w:cs="Times New Roman"/>
          <w:sz w:val="24"/>
          <w:szCs w:val="24"/>
        </w:rPr>
        <w:t xml:space="preserve"> only represented the District administrative employees, that she interpreted Cruse’s inquiry, and framed her response accordingly, that </w:t>
      </w:r>
      <w:r w:rsidR="007408BF">
        <w:rPr>
          <w:rFonts w:ascii="Times New Roman" w:hAnsi="Times New Roman" w:cs="Times New Roman"/>
          <w:sz w:val="24"/>
          <w:szCs w:val="24"/>
        </w:rPr>
        <w:t>Cruse</w:t>
      </w:r>
      <w:r>
        <w:rPr>
          <w:rFonts w:ascii="Times New Roman" w:hAnsi="Times New Roman" w:cs="Times New Roman"/>
          <w:sz w:val="24"/>
          <w:szCs w:val="24"/>
        </w:rPr>
        <w:t xml:space="preserve"> only sought aggregate information for the District administrative group.</w:t>
      </w:r>
      <w:r>
        <w:rPr>
          <w:rStyle w:val="FootnoteReference"/>
          <w:rFonts w:ascii="Times New Roman" w:hAnsi="Times New Roman" w:cs="Times New Roman"/>
          <w:sz w:val="24"/>
          <w:szCs w:val="24"/>
        </w:rPr>
        <w:footnoteReference w:id="79"/>
      </w:r>
      <w:r>
        <w:rPr>
          <w:rFonts w:ascii="Times New Roman" w:hAnsi="Times New Roman" w:cs="Times New Roman"/>
          <w:sz w:val="24"/>
          <w:szCs w:val="24"/>
        </w:rPr>
        <w:t xml:space="preserve"> </w:t>
      </w:r>
    </w:p>
    <w:p w:rsidR="00B47C44" w:rsidRPr="008E5B8C" w:rsidRDefault="00B47C44" w:rsidP="00B47C44">
      <w:pPr>
        <w:ind w:firstLine="720"/>
        <w:jc w:val="both"/>
        <w:rPr>
          <w:rFonts w:ascii="Times New Roman" w:hAnsi="Times New Roman" w:cs="Times New Roman"/>
          <w:sz w:val="24"/>
          <w:szCs w:val="24"/>
        </w:rPr>
      </w:pPr>
      <w:proofErr w:type="spellStart"/>
      <w:r w:rsidRPr="0058510D">
        <w:rPr>
          <w:rFonts w:ascii="Times New Roman" w:hAnsi="Times New Roman" w:cs="Times New Roman"/>
          <w:sz w:val="24"/>
          <w:szCs w:val="24"/>
        </w:rPr>
        <w:t>Theriault</w:t>
      </w:r>
      <w:proofErr w:type="spellEnd"/>
      <w:r w:rsidRPr="0058510D">
        <w:rPr>
          <w:rFonts w:ascii="Times New Roman" w:hAnsi="Times New Roman" w:cs="Times New Roman"/>
          <w:sz w:val="24"/>
          <w:szCs w:val="24"/>
        </w:rPr>
        <w:t xml:space="preserve"> did not </w:t>
      </w:r>
      <w:r>
        <w:rPr>
          <w:rFonts w:ascii="Times New Roman" w:hAnsi="Times New Roman" w:cs="Times New Roman"/>
          <w:sz w:val="24"/>
          <w:szCs w:val="24"/>
        </w:rPr>
        <w:t xml:space="preserve">seek help from his supervisor Mark Jones, or </w:t>
      </w:r>
      <w:r w:rsidRPr="0058510D">
        <w:rPr>
          <w:rFonts w:ascii="Times New Roman" w:hAnsi="Times New Roman" w:cs="Times New Roman"/>
          <w:sz w:val="24"/>
          <w:szCs w:val="24"/>
        </w:rPr>
        <w:t xml:space="preserve">from </w:t>
      </w:r>
      <w:proofErr w:type="spellStart"/>
      <w:r w:rsidRPr="0058510D">
        <w:rPr>
          <w:rFonts w:ascii="Times New Roman" w:hAnsi="Times New Roman" w:cs="Times New Roman"/>
          <w:sz w:val="24"/>
          <w:szCs w:val="24"/>
        </w:rPr>
        <w:t>Bafia</w:t>
      </w:r>
      <w:proofErr w:type="spellEnd"/>
      <w:r w:rsidRPr="0058510D">
        <w:rPr>
          <w:rFonts w:ascii="Times New Roman" w:hAnsi="Times New Roman" w:cs="Times New Roman"/>
          <w:sz w:val="24"/>
          <w:szCs w:val="24"/>
        </w:rPr>
        <w:t xml:space="preserve"> to get </w:t>
      </w:r>
      <w:r>
        <w:rPr>
          <w:rFonts w:ascii="Times New Roman" w:hAnsi="Times New Roman" w:cs="Times New Roman"/>
          <w:sz w:val="24"/>
          <w:szCs w:val="24"/>
        </w:rPr>
        <w:t xml:space="preserve">the </w:t>
      </w:r>
      <w:r w:rsidRPr="0058510D">
        <w:rPr>
          <w:rFonts w:ascii="Times New Roman" w:hAnsi="Times New Roman" w:cs="Times New Roman"/>
          <w:sz w:val="24"/>
          <w:szCs w:val="24"/>
        </w:rPr>
        <w:t>info</w:t>
      </w:r>
      <w:r>
        <w:rPr>
          <w:rFonts w:ascii="Times New Roman" w:hAnsi="Times New Roman" w:cs="Times New Roman"/>
          <w:sz w:val="24"/>
          <w:szCs w:val="24"/>
        </w:rPr>
        <w:t>rmation</w:t>
      </w:r>
      <w:r w:rsidRPr="0058510D">
        <w:rPr>
          <w:rFonts w:ascii="Times New Roman" w:hAnsi="Times New Roman" w:cs="Times New Roman"/>
          <w:sz w:val="24"/>
          <w:szCs w:val="24"/>
        </w:rPr>
        <w:t xml:space="preserve"> from the Trust.</w:t>
      </w:r>
      <w:r>
        <w:rPr>
          <w:rStyle w:val="FootnoteReference"/>
          <w:rFonts w:ascii="Times New Roman" w:hAnsi="Times New Roman" w:cs="Times New Roman"/>
          <w:sz w:val="24"/>
          <w:szCs w:val="24"/>
        </w:rPr>
        <w:footnoteReference w:id="80"/>
      </w:r>
      <w:r w:rsidRPr="0058510D">
        <w:rPr>
          <w:rFonts w:ascii="Times New Roman" w:hAnsi="Times New Roman" w:cs="Times New Roman"/>
          <w:sz w:val="24"/>
          <w:szCs w:val="24"/>
        </w:rPr>
        <w:t xml:space="preserve"> </w:t>
      </w:r>
      <w:proofErr w:type="spellStart"/>
      <w:r>
        <w:rPr>
          <w:rFonts w:ascii="Times New Roman" w:hAnsi="Times New Roman" w:cs="Times New Roman"/>
          <w:sz w:val="24"/>
          <w:szCs w:val="24"/>
        </w:rPr>
        <w:t>Uniserve</w:t>
      </w:r>
      <w:proofErr w:type="spellEnd"/>
      <w:r>
        <w:rPr>
          <w:rFonts w:ascii="Times New Roman" w:hAnsi="Times New Roman" w:cs="Times New Roman"/>
          <w:sz w:val="24"/>
          <w:szCs w:val="24"/>
        </w:rPr>
        <w:t xml:space="preserve"> Directors are self-directed and operate fairly independently </w:t>
      </w:r>
      <w:r>
        <w:rPr>
          <w:rFonts w:ascii="Times New Roman" w:hAnsi="Times New Roman" w:cs="Times New Roman"/>
          <w:sz w:val="24"/>
          <w:szCs w:val="24"/>
        </w:rPr>
        <w:lastRenderedPageBreak/>
        <w:t xml:space="preserve">and because the Trust was a separate entity from NEA-Alaska, it did not occur to </w:t>
      </w:r>
      <w:proofErr w:type="spellStart"/>
      <w:r>
        <w:rPr>
          <w:rFonts w:ascii="Times New Roman" w:hAnsi="Times New Roman" w:cs="Times New Roman"/>
          <w:sz w:val="24"/>
          <w:szCs w:val="24"/>
        </w:rPr>
        <w:t>Theriault</w:t>
      </w:r>
      <w:proofErr w:type="spellEnd"/>
      <w:r>
        <w:rPr>
          <w:rFonts w:ascii="Times New Roman" w:hAnsi="Times New Roman" w:cs="Times New Roman"/>
          <w:sz w:val="24"/>
          <w:szCs w:val="24"/>
        </w:rPr>
        <w:t xml:space="preserve"> that the information could possibly be obtained.</w:t>
      </w:r>
      <w:r>
        <w:rPr>
          <w:rStyle w:val="FootnoteReference"/>
          <w:rFonts w:ascii="Times New Roman" w:hAnsi="Times New Roman" w:cs="Times New Roman"/>
          <w:sz w:val="24"/>
          <w:szCs w:val="24"/>
        </w:rPr>
        <w:footnoteReference w:id="81"/>
      </w:r>
      <w:r>
        <w:rPr>
          <w:rFonts w:ascii="Times New Roman" w:hAnsi="Times New Roman" w:cs="Times New Roman"/>
          <w:sz w:val="24"/>
          <w:szCs w:val="24"/>
        </w:rPr>
        <w:t xml:space="preserve"> </w:t>
      </w:r>
      <w:proofErr w:type="spellStart"/>
      <w:r>
        <w:rPr>
          <w:rFonts w:ascii="Times New Roman" w:hAnsi="Times New Roman" w:cs="Times New Roman"/>
          <w:sz w:val="24"/>
          <w:szCs w:val="24"/>
        </w:rPr>
        <w:t>Bafia</w:t>
      </w:r>
      <w:proofErr w:type="spellEnd"/>
      <w:r>
        <w:rPr>
          <w:rFonts w:ascii="Times New Roman" w:hAnsi="Times New Roman" w:cs="Times New Roman"/>
          <w:sz w:val="24"/>
          <w:szCs w:val="24"/>
        </w:rPr>
        <w:t xml:space="preserve"> testified that if he had received the request from the District he would have sought guidance from </w:t>
      </w:r>
      <w:proofErr w:type="spellStart"/>
      <w:r>
        <w:rPr>
          <w:rFonts w:ascii="Times New Roman" w:hAnsi="Times New Roman" w:cs="Times New Roman"/>
          <w:sz w:val="24"/>
          <w:szCs w:val="24"/>
        </w:rPr>
        <w:t>Kitter</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82"/>
      </w:r>
      <w:r>
        <w:rPr>
          <w:rFonts w:ascii="Times New Roman" w:hAnsi="Times New Roman" w:cs="Times New Roman"/>
          <w:sz w:val="24"/>
          <w:szCs w:val="24"/>
        </w:rPr>
        <w:t xml:space="preserve"> If she said the information could not be released then he would not have pursued it.</w:t>
      </w:r>
      <w:r>
        <w:rPr>
          <w:rStyle w:val="FootnoteReference"/>
          <w:rFonts w:ascii="Times New Roman" w:hAnsi="Times New Roman" w:cs="Times New Roman"/>
          <w:sz w:val="24"/>
          <w:szCs w:val="24"/>
        </w:rPr>
        <w:footnoteReference w:id="83"/>
      </w:r>
      <w:r w:rsidRPr="00D9156C">
        <w:rPr>
          <w:rFonts w:ascii="Times New Roman" w:hAnsi="Times New Roman" w:cs="Times New Roman"/>
          <w:sz w:val="24"/>
          <w:szCs w:val="24"/>
        </w:rPr>
        <w:t xml:space="preserve"> </w:t>
      </w:r>
      <w:r>
        <w:rPr>
          <w:rFonts w:ascii="Times New Roman" w:hAnsi="Times New Roman" w:cs="Times New Roman"/>
          <w:sz w:val="24"/>
          <w:szCs w:val="24"/>
        </w:rPr>
        <w:t xml:space="preserve">After receiving the letter from </w:t>
      </w:r>
      <w:proofErr w:type="spellStart"/>
      <w:r>
        <w:rPr>
          <w:rFonts w:ascii="Times New Roman" w:hAnsi="Times New Roman" w:cs="Times New Roman"/>
          <w:sz w:val="24"/>
          <w:szCs w:val="24"/>
        </w:rPr>
        <w:t>Kitter</w:t>
      </w:r>
      <w:proofErr w:type="spellEnd"/>
      <w:r>
        <w:rPr>
          <w:rFonts w:ascii="Times New Roman" w:hAnsi="Times New Roman" w:cs="Times New Roman"/>
          <w:sz w:val="24"/>
          <w:szCs w:val="24"/>
        </w:rPr>
        <w:t xml:space="preserve">, it did not occur to </w:t>
      </w:r>
      <w:proofErr w:type="spellStart"/>
      <w:r>
        <w:rPr>
          <w:rFonts w:ascii="Times New Roman" w:hAnsi="Times New Roman" w:cs="Times New Roman"/>
          <w:sz w:val="24"/>
          <w:szCs w:val="24"/>
        </w:rPr>
        <w:t>Theriault</w:t>
      </w:r>
      <w:proofErr w:type="spellEnd"/>
      <w:r>
        <w:rPr>
          <w:rFonts w:ascii="Times New Roman" w:hAnsi="Times New Roman" w:cs="Times New Roman"/>
          <w:sz w:val="24"/>
          <w:szCs w:val="24"/>
        </w:rPr>
        <w:t xml:space="preserve"> to go to his superiors at NEA-Alaska because </w:t>
      </w:r>
      <w:proofErr w:type="spellStart"/>
      <w:r>
        <w:rPr>
          <w:rFonts w:ascii="Times New Roman" w:hAnsi="Times New Roman" w:cs="Times New Roman"/>
          <w:sz w:val="24"/>
          <w:szCs w:val="24"/>
        </w:rPr>
        <w:t>Kitter</w:t>
      </w:r>
      <w:proofErr w:type="spellEnd"/>
      <w:r>
        <w:rPr>
          <w:rFonts w:ascii="Times New Roman" w:hAnsi="Times New Roman" w:cs="Times New Roman"/>
          <w:sz w:val="24"/>
          <w:szCs w:val="24"/>
        </w:rPr>
        <w:t xml:space="preserve"> was the most credible authority on the Trust’s policies so he accepted the ‘no’ from </w:t>
      </w:r>
      <w:proofErr w:type="spellStart"/>
      <w:r>
        <w:rPr>
          <w:rFonts w:ascii="Times New Roman" w:hAnsi="Times New Roman" w:cs="Times New Roman"/>
          <w:sz w:val="24"/>
          <w:szCs w:val="24"/>
        </w:rPr>
        <w:t>Kitter</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84"/>
      </w:r>
      <w:r>
        <w:rPr>
          <w:rFonts w:ascii="Times New Roman" w:hAnsi="Times New Roman" w:cs="Times New Roman"/>
          <w:sz w:val="24"/>
          <w:szCs w:val="24"/>
        </w:rPr>
        <w:t xml:space="preserve"> </w:t>
      </w:r>
      <w:proofErr w:type="spellStart"/>
      <w:r>
        <w:rPr>
          <w:rFonts w:ascii="Times New Roman" w:hAnsi="Times New Roman" w:cs="Times New Roman"/>
          <w:sz w:val="24"/>
          <w:szCs w:val="24"/>
        </w:rPr>
        <w:t>Theriault</w:t>
      </w:r>
      <w:proofErr w:type="spellEnd"/>
      <w:r>
        <w:rPr>
          <w:rFonts w:ascii="Times New Roman" w:hAnsi="Times New Roman" w:cs="Times New Roman"/>
          <w:sz w:val="24"/>
          <w:szCs w:val="24"/>
        </w:rPr>
        <w:t xml:space="preserve"> was not aware of the structure of NEA-Alaska as the plan administrator of the Trust at the time of the request from the District, or that it might appear that NEA-Alaska had any authority over the Trust.</w:t>
      </w:r>
      <w:r>
        <w:rPr>
          <w:rStyle w:val="FootnoteReference"/>
          <w:rFonts w:ascii="Times New Roman" w:hAnsi="Times New Roman" w:cs="Times New Roman"/>
          <w:sz w:val="24"/>
          <w:szCs w:val="24"/>
        </w:rPr>
        <w:footnoteReference w:id="85"/>
      </w:r>
      <w:r w:rsidR="007408BF">
        <w:rPr>
          <w:rFonts w:ascii="Times New Roman" w:hAnsi="Times New Roman" w:cs="Times New Roman"/>
          <w:sz w:val="24"/>
          <w:szCs w:val="24"/>
        </w:rPr>
        <w:t xml:space="preserve"> Salisbury testified that she intended to present the request to the CEA governing body</w:t>
      </w:r>
      <w:r w:rsidR="00252119">
        <w:rPr>
          <w:rFonts w:ascii="Times New Roman" w:hAnsi="Times New Roman" w:cs="Times New Roman"/>
          <w:sz w:val="24"/>
          <w:szCs w:val="24"/>
        </w:rPr>
        <w:t xml:space="preserve"> and had it listed as an agenda item for the </w:t>
      </w:r>
      <w:r w:rsidR="004E5291">
        <w:rPr>
          <w:rFonts w:ascii="Times New Roman" w:hAnsi="Times New Roman" w:cs="Times New Roman"/>
          <w:sz w:val="24"/>
          <w:szCs w:val="24"/>
        </w:rPr>
        <w:t xml:space="preserve">next business </w:t>
      </w:r>
      <w:r w:rsidR="00252119">
        <w:rPr>
          <w:rFonts w:ascii="Times New Roman" w:hAnsi="Times New Roman" w:cs="Times New Roman"/>
          <w:sz w:val="24"/>
          <w:szCs w:val="24"/>
        </w:rPr>
        <w:t>meeting</w:t>
      </w:r>
      <w:r w:rsidR="007408BF">
        <w:rPr>
          <w:rFonts w:ascii="Times New Roman" w:hAnsi="Times New Roman" w:cs="Times New Roman"/>
          <w:sz w:val="24"/>
          <w:szCs w:val="24"/>
        </w:rPr>
        <w:t>, but</w:t>
      </w:r>
      <w:r w:rsidR="00252119">
        <w:rPr>
          <w:rFonts w:ascii="Times New Roman" w:hAnsi="Times New Roman" w:cs="Times New Roman"/>
          <w:sz w:val="24"/>
          <w:szCs w:val="24"/>
        </w:rPr>
        <w:t xml:space="preserve"> a quorum of the members was not present</w:t>
      </w:r>
      <w:r w:rsidR="007408BF">
        <w:rPr>
          <w:rFonts w:ascii="Times New Roman" w:hAnsi="Times New Roman" w:cs="Times New Roman"/>
          <w:sz w:val="24"/>
          <w:szCs w:val="24"/>
        </w:rPr>
        <w:t xml:space="preserve"> at the meeting.</w:t>
      </w:r>
      <w:r w:rsidR="007408BF">
        <w:rPr>
          <w:rStyle w:val="FootnoteReference"/>
          <w:rFonts w:ascii="Times New Roman" w:hAnsi="Times New Roman" w:cs="Times New Roman"/>
          <w:sz w:val="24"/>
          <w:szCs w:val="24"/>
        </w:rPr>
        <w:footnoteReference w:id="86"/>
      </w:r>
      <w:r>
        <w:rPr>
          <w:rFonts w:ascii="Times New Roman" w:hAnsi="Times New Roman" w:cs="Times New Roman"/>
          <w:sz w:val="24"/>
          <w:szCs w:val="24"/>
        </w:rPr>
        <w:t xml:space="preserve"> </w:t>
      </w:r>
      <w:r w:rsidR="006D65CF">
        <w:rPr>
          <w:rFonts w:ascii="Times New Roman" w:hAnsi="Times New Roman" w:cs="Times New Roman"/>
          <w:sz w:val="24"/>
          <w:szCs w:val="24"/>
        </w:rPr>
        <w:t>Salisbury testified that she informed the District that she was unable to present the request to CEA because there was no quorum at the</w:t>
      </w:r>
      <w:r w:rsidR="005106CA">
        <w:rPr>
          <w:rFonts w:ascii="Times New Roman" w:hAnsi="Times New Roman" w:cs="Times New Roman"/>
          <w:sz w:val="24"/>
          <w:szCs w:val="24"/>
        </w:rPr>
        <w:t xml:space="preserve"> business</w:t>
      </w:r>
      <w:r w:rsidR="006D65CF">
        <w:rPr>
          <w:rFonts w:ascii="Times New Roman" w:hAnsi="Times New Roman" w:cs="Times New Roman"/>
          <w:sz w:val="24"/>
          <w:szCs w:val="24"/>
        </w:rPr>
        <w:t xml:space="preserve"> meeting.</w:t>
      </w:r>
      <w:r w:rsidR="006D65CF">
        <w:rPr>
          <w:rStyle w:val="FootnoteReference"/>
          <w:rFonts w:ascii="Times New Roman" w:hAnsi="Times New Roman" w:cs="Times New Roman"/>
          <w:sz w:val="24"/>
          <w:szCs w:val="24"/>
        </w:rPr>
        <w:footnoteReference w:id="87"/>
      </w:r>
      <w:r w:rsidR="006D65CF">
        <w:rPr>
          <w:rFonts w:ascii="Times New Roman" w:hAnsi="Times New Roman" w:cs="Times New Roman"/>
          <w:sz w:val="24"/>
          <w:szCs w:val="24"/>
        </w:rPr>
        <w:t xml:space="preserve"> After that, the District filed this unfair labor practice and Salisbury believed the issue to be moot.</w:t>
      </w:r>
      <w:r w:rsidR="006D65CF">
        <w:rPr>
          <w:rStyle w:val="FootnoteReference"/>
          <w:rFonts w:ascii="Times New Roman" w:hAnsi="Times New Roman" w:cs="Times New Roman"/>
          <w:sz w:val="24"/>
          <w:szCs w:val="24"/>
        </w:rPr>
        <w:footnoteReference w:id="88"/>
      </w:r>
      <w:r w:rsidR="006D65CF">
        <w:rPr>
          <w:rFonts w:ascii="Times New Roman" w:hAnsi="Times New Roman" w:cs="Times New Roman"/>
          <w:sz w:val="24"/>
          <w:szCs w:val="24"/>
        </w:rPr>
        <w:t xml:space="preserve"> </w:t>
      </w:r>
      <w:r>
        <w:rPr>
          <w:rFonts w:ascii="Times New Roman" w:hAnsi="Times New Roman" w:cs="Times New Roman"/>
          <w:sz w:val="24"/>
          <w:szCs w:val="24"/>
        </w:rPr>
        <w:t>Consequently, MSEA and CEA never made a formal request for the health claims information for the District.</w:t>
      </w:r>
      <w:r>
        <w:rPr>
          <w:rStyle w:val="FootnoteReference"/>
          <w:rFonts w:ascii="Times New Roman" w:hAnsi="Times New Roman" w:cs="Times New Roman"/>
          <w:sz w:val="24"/>
          <w:szCs w:val="24"/>
        </w:rPr>
        <w:footnoteReference w:id="89"/>
      </w:r>
      <w:r>
        <w:rPr>
          <w:rFonts w:ascii="Times New Roman" w:hAnsi="Times New Roman" w:cs="Times New Roman"/>
          <w:sz w:val="24"/>
          <w:szCs w:val="24"/>
        </w:rPr>
        <w:t xml:space="preserve"> </w:t>
      </w:r>
    </w:p>
    <w:p w:rsidR="00B47C44" w:rsidRPr="007D5C86" w:rsidRDefault="00B47C44" w:rsidP="00B47C44">
      <w:pPr>
        <w:pStyle w:val="ListParagraph"/>
        <w:numPr>
          <w:ilvl w:val="0"/>
          <w:numId w:val="1"/>
        </w:numPr>
        <w:ind w:left="720"/>
        <w:rPr>
          <w:rFonts w:ascii="Times New Roman" w:hAnsi="Times New Roman" w:cs="Times New Roman"/>
          <w:b/>
          <w:sz w:val="24"/>
          <w:szCs w:val="24"/>
        </w:rPr>
      </w:pPr>
      <w:r>
        <w:rPr>
          <w:rFonts w:ascii="Times New Roman" w:hAnsi="Times New Roman" w:cs="Times New Roman"/>
          <w:b/>
          <w:sz w:val="24"/>
          <w:szCs w:val="24"/>
        </w:rPr>
        <w:t>DISCUSSION</w:t>
      </w:r>
    </w:p>
    <w:p w:rsidR="00B47C44" w:rsidRDefault="00B47C44" w:rsidP="00284CFA">
      <w:pPr>
        <w:ind w:firstLine="720"/>
        <w:jc w:val="both"/>
        <w:rPr>
          <w:rFonts w:ascii="Times New Roman" w:hAnsi="Times New Roman" w:cs="Times New Roman"/>
          <w:sz w:val="24"/>
          <w:szCs w:val="24"/>
        </w:rPr>
      </w:pPr>
      <w:r>
        <w:rPr>
          <w:rFonts w:ascii="Times New Roman" w:hAnsi="Times New Roman" w:cs="Times New Roman"/>
          <w:sz w:val="24"/>
          <w:szCs w:val="24"/>
        </w:rPr>
        <w:t>As a preliminary matter, th</w:t>
      </w:r>
      <w:r w:rsidR="005903DD">
        <w:rPr>
          <w:rFonts w:ascii="Times New Roman" w:hAnsi="Times New Roman" w:cs="Times New Roman"/>
          <w:sz w:val="24"/>
          <w:szCs w:val="24"/>
        </w:rPr>
        <w:t>e Board denies C</w:t>
      </w:r>
      <w:r>
        <w:rPr>
          <w:rFonts w:ascii="Times New Roman" w:hAnsi="Times New Roman" w:cs="Times New Roman"/>
          <w:sz w:val="24"/>
          <w:szCs w:val="24"/>
        </w:rPr>
        <w:t xml:space="preserve">EA’s motion to dismiss the complaint. </w:t>
      </w:r>
      <w:r w:rsidR="00504918">
        <w:rPr>
          <w:rFonts w:ascii="Times New Roman" w:hAnsi="Times New Roman" w:cs="Times New Roman"/>
          <w:sz w:val="24"/>
          <w:szCs w:val="24"/>
        </w:rPr>
        <w:t>Also, a</w:t>
      </w:r>
      <w:r>
        <w:rPr>
          <w:rFonts w:ascii="Times New Roman" w:hAnsi="Times New Roman" w:cs="Times New Roman"/>
          <w:sz w:val="24"/>
          <w:szCs w:val="24"/>
        </w:rPr>
        <w:t xml:space="preserve">t the hearing the parties raised five </w:t>
      </w:r>
      <w:r w:rsidR="00504918">
        <w:rPr>
          <w:rFonts w:ascii="Times New Roman" w:hAnsi="Times New Roman" w:cs="Times New Roman"/>
          <w:sz w:val="24"/>
          <w:szCs w:val="24"/>
        </w:rPr>
        <w:t xml:space="preserve">different </w:t>
      </w:r>
      <w:r>
        <w:rPr>
          <w:rFonts w:ascii="Times New Roman" w:hAnsi="Times New Roman" w:cs="Times New Roman"/>
          <w:sz w:val="24"/>
          <w:szCs w:val="24"/>
        </w:rPr>
        <w:t>objections during the presentation of evidence. All objections were overruled with discretion for the board to consider them during deliberations. We now confirm that those objections are overruled. Specifically, the District objected to the relevance of Exhibit V, the Trust Agreement effective July 1, 2018, because the document was created after the District’s request for claims data</w:t>
      </w:r>
      <w:r w:rsidR="00C557BE">
        <w:rPr>
          <w:rFonts w:ascii="Times New Roman" w:hAnsi="Times New Roman" w:cs="Times New Roman"/>
          <w:sz w:val="24"/>
          <w:szCs w:val="24"/>
        </w:rPr>
        <w:t xml:space="preserve"> </w:t>
      </w:r>
      <w:r>
        <w:rPr>
          <w:rFonts w:ascii="Times New Roman" w:hAnsi="Times New Roman" w:cs="Times New Roman"/>
          <w:sz w:val="24"/>
          <w:szCs w:val="24"/>
        </w:rPr>
        <w:t>took place. Under the Administrative Procedures Act, the rules of evidence are relaxed and,</w:t>
      </w:r>
    </w:p>
    <w:p w:rsidR="00B47C44" w:rsidRDefault="00B47C44" w:rsidP="00284CFA">
      <w:pPr>
        <w:spacing w:line="240" w:lineRule="auto"/>
        <w:ind w:left="1440" w:right="1440"/>
        <w:jc w:val="both"/>
        <w:rPr>
          <w:rFonts w:ascii="Times New Roman" w:hAnsi="Times New Roman" w:cs="Times New Roman"/>
          <w:sz w:val="24"/>
          <w:szCs w:val="24"/>
        </w:rPr>
      </w:pPr>
      <w:proofErr w:type="gramStart"/>
      <w:r>
        <w:rPr>
          <w:rFonts w:ascii="Times New Roman" w:hAnsi="Times New Roman" w:cs="Times New Roman"/>
          <w:sz w:val="24"/>
          <w:szCs w:val="24"/>
        </w:rPr>
        <w:t>relevant</w:t>
      </w:r>
      <w:proofErr w:type="gramEnd"/>
      <w:r>
        <w:rPr>
          <w:rFonts w:ascii="Times New Roman" w:hAnsi="Times New Roman" w:cs="Times New Roman"/>
          <w:sz w:val="24"/>
          <w:szCs w:val="24"/>
        </w:rPr>
        <w:t xml:space="preserve"> evidence shall be admitted if it is the sort of evidence on which responsible persons are accustomed to rely in the conduct of serious affairs, regardless of the existence of a common law or statutory rule that makes improper the admission of the evidence over objection in a civil action.</w:t>
      </w:r>
      <w:r>
        <w:rPr>
          <w:rStyle w:val="FootnoteReference"/>
          <w:rFonts w:ascii="Times New Roman" w:hAnsi="Times New Roman" w:cs="Times New Roman"/>
          <w:sz w:val="24"/>
          <w:szCs w:val="24"/>
        </w:rPr>
        <w:footnoteReference w:id="90"/>
      </w:r>
    </w:p>
    <w:p w:rsidR="00B47C44" w:rsidRDefault="00B47C44" w:rsidP="00284CFA">
      <w:pPr>
        <w:jc w:val="both"/>
        <w:rPr>
          <w:rFonts w:ascii="Times New Roman" w:hAnsi="Times New Roman" w:cs="Times New Roman"/>
          <w:sz w:val="24"/>
          <w:szCs w:val="24"/>
        </w:rPr>
      </w:pPr>
      <w:r>
        <w:rPr>
          <w:rFonts w:ascii="Times New Roman" w:hAnsi="Times New Roman" w:cs="Times New Roman"/>
          <w:sz w:val="24"/>
          <w:szCs w:val="24"/>
        </w:rPr>
        <w:t>The evidence is relevant because it provided the board panel context in which to understand the events of this case. Consequently, the objection is overruled and the evidence is admitted as part of the evidence in this case.</w:t>
      </w:r>
    </w:p>
    <w:p w:rsidR="00B47C44" w:rsidRDefault="00B47C44" w:rsidP="00284CFA">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Regarding the substantive charge of unfair labor practice, the hearing officer found probable cause based on the limited information available to her as a result of her investigation. After hearing all of the evidence, the board makes the following findings.</w:t>
      </w:r>
    </w:p>
    <w:p w:rsidR="00B47C44" w:rsidRDefault="00B47C44" w:rsidP="00284CFA">
      <w:pPr>
        <w:ind w:firstLine="720"/>
        <w:jc w:val="both"/>
        <w:rPr>
          <w:rFonts w:ascii="Times New Roman" w:hAnsi="Times New Roman" w:cs="Times New Roman"/>
          <w:sz w:val="24"/>
          <w:szCs w:val="24"/>
        </w:rPr>
      </w:pPr>
      <w:r>
        <w:rPr>
          <w:rFonts w:ascii="Times New Roman" w:hAnsi="Times New Roman" w:cs="Times New Roman"/>
          <w:sz w:val="24"/>
          <w:szCs w:val="24"/>
        </w:rPr>
        <w:t>Unions are obligated to bargain in good faith with public employers.</w:t>
      </w:r>
      <w:r w:rsidR="003F7062">
        <w:rPr>
          <w:rStyle w:val="FootnoteReference"/>
          <w:rFonts w:ascii="Times New Roman" w:hAnsi="Times New Roman" w:cs="Times New Roman"/>
          <w:sz w:val="24"/>
          <w:szCs w:val="24"/>
        </w:rPr>
        <w:footnoteReference w:id="91"/>
      </w:r>
      <w:r>
        <w:rPr>
          <w:rFonts w:ascii="Times New Roman" w:hAnsi="Times New Roman" w:cs="Times New Roman"/>
          <w:sz w:val="24"/>
          <w:szCs w:val="24"/>
        </w:rPr>
        <w:t xml:space="preserve"> This Board has repeatedly held that, good faith means “’an open mind and a sincere desire to reach an agreement’ and a ‘sincere effort … to reach a common ground.’”</w:t>
      </w:r>
      <w:r>
        <w:rPr>
          <w:rStyle w:val="FootnoteReference"/>
          <w:rFonts w:ascii="Times New Roman" w:hAnsi="Times New Roman" w:cs="Times New Roman"/>
          <w:sz w:val="24"/>
          <w:szCs w:val="24"/>
        </w:rPr>
        <w:footnoteReference w:id="92"/>
      </w:r>
      <w:r>
        <w:rPr>
          <w:rFonts w:ascii="Times New Roman" w:hAnsi="Times New Roman" w:cs="Times New Roman"/>
          <w:sz w:val="24"/>
          <w:szCs w:val="24"/>
        </w:rPr>
        <w:t xml:space="preserve"> And in determining whether a party has bargained in bad faith, “the Board looks to the totality of the circumstances in which the bargaining took place.”</w:t>
      </w:r>
      <w:r>
        <w:rPr>
          <w:rStyle w:val="FootnoteReference"/>
          <w:rFonts w:ascii="Times New Roman" w:hAnsi="Times New Roman" w:cs="Times New Roman"/>
          <w:sz w:val="24"/>
          <w:szCs w:val="24"/>
        </w:rPr>
        <w:footnoteReference w:id="93"/>
      </w:r>
      <w:r>
        <w:rPr>
          <w:rFonts w:ascii="Times New Roman" w:hAnsi="Times New Roman" w:cs="Times New Roman"/>
          <w:sz w:val="24"/>
          <w:szCs w:val="24"/>
        </w:rPr>
        <w:t xml:space="preserve"> </w:t>
      </w:r>
      <w:r w:rsidRPr="005913BC">
        <w:rPr>
          <w:rFonts w:ascii="Times New Roman" w:hAnsi="Times New Roman" w:cs="Times New Roman"/>
          <w:sz w:val="24"/>
          <w:szCs w:val="24"/>
        </w:rPr>
        <w:t>The obligation to bargain in good faith includes the duty to disclose relevant information about matters at issue in bargaining.</w:t>
      </w:r>
      <w:r>
        <w:rPr>
          <w:rStyle w:val="FootnoteReference"/>
          <w:rFonts w:ascii="Times New Roman" w:hAnsi="Times New Roman" w:cs="Times New Roman"/>
          <w:sz w:val="24"/>
          <w:szCs w:val="24"/>
        </w:rPr>
        <w:footnoteReference w:id="94"/>
      </w:r>
      <w:r w:rsidRPr="005913BC">
        <w:rPr>
          <w:rFonts w:ascii="Times New Roman" w:hAnsi="Times New Roman" w:cs="Times New Roman"/>
          <w:sz w:val="24"/>
          <w:szCs w:val="24"/>
        </w:rPr>
        <w:t xml:space="preserve"> </w:t>
      </w:r>
      <w:r>
        <w:rPr>
          <w:rFonts w:ascii="Times New Roman" w:hAnsi="Times New Roman" w:cs="Times New Roman"/>
          <w:sz w:val="24"/>
          <w:szCs w:val="24"/>
        </w:rPr>
        <w:t>“[A] union’s duty to furnish information relevant to the bargaining process is parallel to that of an employer.”</w:t>
      </w:r>
      <w:r>
        <w:rPr>
          <w:rStyle w:val="FootnoteReference"/>
          <w:rFonts w:ascii="Times New Roman" w:hAnsi="Times New Roman" w:cs="Times New Roman"/>
          <w:sz w:val="24"/>
          <w:szCs w:val="24"/>
        </w:rPr>
        <w:footnoteReference w:id="95"/>
      </w:r>
    </w:p>
    <w:p w:rsidR="00B47C44" w:rsidRDefault="00B47C44" w:rsidP="00284CFA">
      <w:pPr>
        <w:ind w:firstLine="720"/>
        <w:jc w:val="both"/>
        <w:rPr>
          <w:rFonts w:ascii="Times New Roman" w:hAnsi="Times New Roman" w:cs="Times New Roman"/>
          <w:sz w:val="24"/>
          <w:szCs w:val="24"/>
        </w:rPr>
      </w:pPr>
      <w:r>
        <w:rPr>
          <w:rFonts w:ascii="Times New Roman" w:hAnsi="Times New Roman" w:cs="Times New Roman"/>
          <w:sz w:val="24"/>
          <w:szCs w:val="24"/>
        </w:rPr>
        <w:t>This Board has already held that health benefits are a mandatory subject of bargaining.</w:t>
      </w:r>
      <w:r>
        <w:rPr>
          <w:rStyle w:val="FootnoteReference"/>
          <w:rFonts w:ascii="Times New Roman" w:hAnsi="Times New Roman" w:cs="Times New Roman"/>
          <w:sz w:val="24"/>
          <w:szCs w:val="24"/>
        </w:rPr>
        <w:footnoteReference w:id="96"/>
      </w:r>
      <w:r>
        <w:rPr>
          <w:rFonts w:ascii="Times New Roman" w:hAnsi="Times New Roman" w:cs="Times New Roman"/>
          <w:sz w:val="24"/>
          <w:szCs w:val="24"/>
        </w:rPr>
        <w:t xml:space="preserve"> “Insurance cost information must be provided … and the duty to disclose relevant information is contingent upon a request.”</w:t>
      </w:r>
      <w:r>
        <w:rPr>
          <w:rStyle w:val="FootnoteReference"/>
          <w:rFonts w:ascii="Times New Roman" w:hAnsi="Times New Roman" w:cs="Times New Roman"/>
          <w:sz w:val="24"/>
          <w:szCs w:val="24"/>
        </w:rPr>
        <w:footnoteReference w:id="97"/>
      </w:r>
      <w:r>
        <w:rPr>
          <w:rFonts w:ascii="Times New Roman" w:hAnsi="Times New Roman" w:cs="Times New Roman"/>
          <w:sz w:val="24"/>
          <w:szCs w:val="24"/>
        </w:rPr>
        <w:t xml:space="preserve"> A union must make a reasonable effort to obtain requested information that is not under its control.</w:t>
      </w:r>
      <w:r>
        <w:rPr>
          <w:rStyle w:val="FootnoteReference"/>
          <w:rFonts w:ascii="Times New Roman" w:hAnsi="Times New Roman" w:cs="Times New Roman"/>
          <w:sz w:val="24"/>
          <w:szCs w:val="24"/>
        </w:rPr>
        <w:footnoteReference w:id="98"/>
      </w:r>
    </w:p>
    <w:p w:rsidR="00B47C44" w:rsidRDefault="00B47C44" w:rsidP="00284CFA">
      <w:pPr>
        <w:ind w:firstLine="720"/>
        <w:jc w:val="both"/>
        <w:rPr>
          <w:rFonts w:ascii="Times New Roman" w:hAnsi="Times New Roman" w:cs="Times New Roman"/>
          <w:sz w:val="24"/>
          <w:szCs w:val="24"/>
        </w:rPr>
      </w:pPr>
      <w:r>
        <w:rPr>
          <w:rFonts w:ascii="Times New Roman" w:hAnsi="Times New Roman" w:cs="Times New Roman"/>
          <w:sz w:val="24"/>
          <w:szCs w:val="24"/>
        </w:rPr>
        <w:t>Here, the District requested health claims da</w:t>
      </w:r>
      <w:r w:rsidR="00F27F1F">
        <w:rPr>
          <w:rFonts w:ascii="Times New Roman" w:hAnsi="Times New Roman" w:cs="Times New Roman"/>
          <w:sz w:val="24"/>
          <w:szCs w:val="24"/>
        </w:rPr>
        <w:t>ta and other information from C</w:t>
      </w:r>
      <w:r>
        <w:rPr>
          <w:rFonts w:ascii="Times New Roman" w:hAnsi="Times New Roman" w:cs="Times New Roman"/>
          <w:sz w:val="24"/>
          <w:szCs w:val="24"/>
        </w:rPr>
        <w:t>EA in order to conduct a pricing exercise to explore self-insurance as a potential</w:t>
      </w:r>
      <w:r w:rsidR="00FC2D07">
        <w:rPr>
          <w:rFonts w:ascii="Times New Roman" w:hAnsi="Times New Roman" w:cs="Times New Roman"/>
          <w:sz w:val="24"/>
          <w:szCs w:val="24"/>
        </w:rPr>
        <w:t xml:space="preserve"> option while bargaining with C</w:t>
      </w:r>
      <w:r>
        <w:rPr>
          <w:rFonts w:ascii="Times New Roman" w:hAnsi="Times New Roman" w:cs="Times New Roman"/>
          <w:sz w:val="24"/>
          <w:szCs w:val="24"/>
        </w:rPr>
        <w:t xml:space="preserve">EA. It is evident from the testimony that MSEA and CEA were unsure how to provide answers to the District. Both </w:t>
      </w:r>
      <w:proofErr w:type="spellStart"/>
      <w:r>
        <w:rPr>
          <w:rFonts w:ascii="Times New Roman" w:hAnsi="Times New Roman" w:cs="Times New Roman"/>
          <w:sz w:val="24"/>
          <w:szCs w:val="24"/>
        </w:rPr>
        <w:t>Theriault</w:t>
      </w:r>
      <w:proofErr w:type="spellEnd"/>
      <w:r>
        <w:rPr>
          <w:rFonts w:ascii="Times New Roman" w:hAnsi="Times New Roman" w:cs="Times New Roman"/>
          <w:sz w:val="24"/>
          <w:szCs w:val="24"/>
        </w:rPr>
        <w:t xml:space="preserve"> and Salisbury testified that they conferred on more than one occasion with </w:t>
      </w:r>
      <w:proofErr w:type="spellStart"/>
      <w:r>
        <w:rPr>
          <w:rFonts w:ascii="Times New Roman" w:hAnsi="Times New Roman" w:cs="Times New Roman"/>
          <w:sz w:val="24"/>
          <w:szCs w:val="24"/>
        </w:rPr>
        <w:t>Kitter</w:t>
      </w:r>
      <w:proofErr w:type="spellEnd"/>
      <w:r>
        <w:rPr>
          <w:rFonts w:ascii="Times New Roman" w:hAnsi="Times New Roman" w:cs="Times New Roman"/>
          <w:sz w:val="24"/>
          <w:szCs w:val="24"/>
        </w:rPr>
        <w:t xml:space="preserve"> to discuss and understand the District’s request.</w:t>
      </w:r>
      <w:r>
        <w:rPr>
          <w:rStyle w:val="FootnoteReference"/>
          <w:rFonts w:ascii="Times New Roman" w:hAnsi="Times New Roman" w:cs="Times New Roman"/>
          <w:sz w:val="24"/>
          <w:szCs w:val="24"/>
        </w:rPr>
        <w:footnoteReference w:id="99"/>
      </w:r>
      <w:r>
        <w:rPr>
          <w:rFonts w:ascii="Times New Roman" w:hAnsi="Times New Roman" w:cs="Times New Roman"/>
          <w:sz w:val="24"/>
          <w:szCs w:val="24"/>
        </w:rPr>
        <w:t xml:space="preserve"> The bargaining team discussed how to handle the request and they held legitimate concerns about whether the information could be released</w:t>
      </w:r>
      <w:r w:rsidR="00C760CA">
        <w:rPr>
          <w:rFonts w:ascii="Times New Roman" w:hAnsi="Times New Roman" w:cs="Times New Roman"/>
          <w:sz w:val="24"/>
          <w:szCs w:val="24"/>
        </w:rPr>
        <w:t xml:space="preserve"> without jeopardizing confidentiality of members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00"/>
      </w:r>
      <w:r>
        <w:rPr>
          <w:rFonts w:ascii="Times New Roman" w:hAnsi="Times New Roman" w:cs="Times New Roman"/>
          <w:sz w:val="24"/>
          <w:szCs w:val="24"/>
        </w:rPr>
        <w:t xml:space="preserve"> </w:t>
      </w:r>
      <w:r w:rsidR="00C760CA">
        <w:rPr>
          <w:rFonts w:ascii="Times New Roman" w:hAnsi="Times New Roman" w:cs="Times New Roman"/>
          <w:sz w:val="24"/>
          <w:szCs w:val="24"/>
        </w:rPr>
        <w:t>The Board finds that C</w:t>
      </w:r>
      <w:r>
        <w:rPr>
          <w:rFonts w:ascii="Times New Roman" w:hAnsi="Times New Roman" w:cs="Times New Roman"/>
          <w:sz w:val="24"/>
          <w:szCs w:val="24"/>
        </w:rPr>
        <w:t xml:space="preserve">EA did not control the health claims information. Despite the designation of NEA-Alaska as plan administrator to the Trust, NEA-Alaska nor the Associations operated in a way that asserted any control over the Trust. Additionally, the board finds that </w:t>
      </w:r>
      <w:r w:rsidR="004933F4">
        <w:rPr>
          <w:rFonts w:ascii="Times New Roman" w:hAnsi="Times New Roman" w:cs="Times New Roman"/>
          <w:sz w:val="24"/>
          <w:szCs w:val="24"/>
        </w:rPr>
        <w:t>C</w:t>
      </w:r>
      <w:r>
        <w:rPr>
          <w:rFonts w:ascii="Times New Roman" w:hAnsi="Times New Roman" w:cs="Times New Roman"/>
          <w:sz w:val="24"/>
          <w:szCs w:val="24"/>
        </w:rPr>
        <w:t xml:space="preserve">EA did not direct </w:t>
      </w:r>
      <w:proofErr w:type="spellStart"/>
      <w:r>
        <w:rPr>
          <w:rFonts w:ascii="Times New Roman" w:hAnsi="Times New Roman" w:cs="Times New Roman"/>
          <w:sz w:val="24"/>
          <w:szCs w:val="24"/>
        </w:rPr>
        <w:t>Kitter</w:t>
      </w:r>
      <w:proofErr w:type="spellEnd"/>
      <w:r>
        <w:rPr>
          <w:rFonts w:ascii="Times New Roman" w:hAnsi="Times New Roman" w:cs="Times New Roman"/>
          <w:sz w:val="24"/>
          <w:szCs w:val="24"/>
        </w:rPr>
        <w:t xml:space="preserve"> to refuse to disclose information to the District.</w:t>
      </w:r>
    </w:p>
    <w:p w:rsidR="00B47C44" w:rsidRPr="00B07EBD" w:rsidRDefault="00474E17" w:rsidP="00284CFA">
      <w:pPr>
        <w:ind w:firstLine="720"/>
        <w:jc w:val="both"/>
        <w:rPr>
          <w:rFonts w:ascii="Times New Roman" w:hAnsi="Times New Roman" w:cs="Times New Roman"/>
          <w:sz w:val="24"/>
          <w:szCs w:val="24"/>
        </w:rPr>
      </w:pPr>
      <w:r>
        <w:rPr>
          <w:rFonts w:ascii="Times New Roman" w:hAnsi="Times New Roman" w:cs="Times New Roman"/>
          <w:sz w:val="24"/>
          <w:szCs w:val="24"/>
        </w:rPr>
        <w:t>The Board finds that C</w:t>
      </w:r>
      <w:r w:rsidR="00B47C44">
        <w:rPr>
          <w:rFonts w:ascii="Times New Roman" w:hAnsi="Times New Roman" w:cs="Times New Roman"/>
          <w:sz w:val="24"/>
          <w:szCs w:val="24"/>
        </w:rPr>
        <w:t>EA’s failure</w:t>
      </w:r>
      <w:r w:rsidR="00AC65AB">
        <w:rPr>
          <w:rFonts w:ascii="Times New Roman" w:hAnsi="Times New Roman" w:cs="Times New Roman"/>
          <w:sz w:val="24"/>
          <w:szCs w:val="24"/>
        </w:rPr>
        <w:t xml:space="preserve"> to formally request the sought-</w:t>
      </w:r>
      <w:r w:rsidR="00B47C44">
        <w:rPr>
          <w:rFonts w:ascii="Times New Roman" w:hAnsi="Times New Roman" w:cs="Times New Roman"/>
          <w:sz w:val="24"/>
          <w:szCs w:val="24"/>
        </w:rPr>
        <w:t>after information from the Trust, was a violation of AS 23.40.110(c</w:t>
      </w:r>
      <w:proofErr w:type="gramStart"/>
      <w:r w:rsidR="00B47C44">
        <w:rPr>
          <w:rFonts w:ascii="Times New Roman" w:hAnsi="Times New Roman" w:cs="Times New Roman"/>
          <w:sz w:val="24"/>
          <w:szCs w:val="24"/>
        </w:rPr>
        <w:t>)(</w:t>
      </w:r>
      <w:proofErr w:type="gramEnd"/>
      <w:r w:rsidR="00B47C44">
        <w:rPr>
          <w:rFonts w:ascii="Times New Roman" w:hAnsi="Times New Roman" w:cs="Times New Roman"/>
          <w:sz w:val="24"/>
          <w:szCs w:val="24"/>
        </w:rPr>
        <w:t xml:space="preserve">2). Both Salisbury and </w:t>
      </w:r>
      <w:proofErr w:type="spellStart"/>
      <w:r w:rsidR="00B47C44">
        <w:rPr>
          <w:rFonts w:ascii="Times New Roman" w:hAnsi="Times New Roman" w:cs="Times New Roman"/>
          <w:sz w:val="24"/>
          <w:szCs w:val="24"/>
        </w:rPr>
        <w:t>Theriault</w:t>
      </w:r>
      <w:proofErr w:type="spellEnd"/>
      <w:r w:rsidR="00B47C44">
        <w:rPr>
          <w:rFonts w:ascii="Times New Roman" w:hAnsi="Times New Roman" w:cs="Times New Roman"/>
          <w:sz w:val="24"/>
          <w:szCs w:val="24"/>
        </w:rPr>
        <w:t xml:space="preserve"> testified that a request of this type should be made by the executive boards of the associations, MSEA and CEA.</w:t>
      </w:r>
      <w:r w:rsidR="00B47C44">
        <w:rPr>
          <w:rStyle w:val="FootnoteReference"/>
          <w:rFonts w:ascii="Times New Roman" w:hAnsi="Times New Roman" w:cs="Times New Roman"/>
          <w:sz w:val="24"/>
          <w:szCs w:val="24"/>
        </w:rPr>
        <w:footnoteReference w:id="101"/>
      </w:r>
      <w:r w:rsidR="00B47C44">
        <w:rPr>
          <w:rFonts w:ascii="Times New Roman" w:hAnsi="Times New Roman" w:cs="Times New Roman"/>
          <w:sz w:val="24"/>
          <w:szCs w:val="24"/>
        </w:rPr>
        <w:t xml:space="preserve"> Yet, neither board was given the opportunity to make a determination. </w:t>
      </w:r>
      <w:proofErr w:type="spellStart"/>
      <w:r w:rsidR="00B47C44">
        <w:rPr>
          <w:rFonts w:ascii="Times New Roman" w:hAnsi="Times New Roman" w:cs="Times New Roman"/>
          <w:sz w:val="24"/>
          <w:szCs w:val="24"/>
        </w:rPr>
        <w:t>Kitter</w:t>
      </w:r>
      <w:proofErr w:type="spellEnd"/>
      <w:r w:rsidR="00B47C44">
        <w:rPr>
          <w:rFonts w:ascii="Times New Roman" w:hAnsi="Times New Roman" w:cs="Times New Roman"/>
          <w:sz w:val="24"/>
          <w:szCs w:val="24"/>
        </w:rPr>
        <w:t xml:space="preserve"> testified that she </w:t>
      </w:r>
      <w:r w:rsidR="00B47C44">
        <w:rPr>
          <w:rFonts w:ascii="Times New Roman" w:hAnsi="Times New Roman" w:cs="Times New Roman"/>
          <w:sz w:val="24"/>
          <w:szCs w:val="24"/>
        </w:rPr>
        <w:lastRenderedPageBreak/>
        <w:t>would have brought such a request to the trustees if it had been brought to her.</w:t>
      </w:r>
      <w:r w:rsidR="00B47C44">
        <w:rPr>
          <w:rStyle w:val="FootnoteReference"/>
          <w:rFonts w:ascii="Times New Roman" w:hAnsi="Times New Roman" w:cs="Times New Roman"/>
          <w:sz w:val="24"/>
          <w:szCs w:val="24"/>
        </w:rPr>
        <w:footnoteReference w:id="102"/>
      </w:r>
      <w:r w:rsidR="00B47C44">
        <w:rPr>
          <w:rFonts w:ascii="Times New Roman" w:hAnsi="Times New Roman" w:cs="Times New Roman"/>
          <w:sz w:val="24"/>
          <w:szCs w:val="24"/>
        </w:rPr>
        <w:t xml:space="preserve"> When </w:t>
      </w:r>
      <w:proofErr w:type="spellStart"/>
      <w:r w:rsidR="00B47C44">
        <w:rPr>
          <w:rFonts w:ascii="Times New Roman" w:hAnsi="Times New Roman" w:cs="Times New Roman"/>
          <w:sz w:val="24"/>
          <w:szCs w:val="24"/>
        </w:rPr>
        <w:t>Theriault</w:t>
      </w:r>
      <w:proofErr w:type="spellEnd"/>
      <w:r w:rsidR="00B47C44">
        <w:rPr>
          <w:rFonts w:ascii="Times New Roman" w:hAnsi="Times New Roman" w:cs="Times New Roman"/>
          <w:sz w:val="24"/>
          <w:szCs w:val="24"/>
        </w:rPr>
        <w:t xml:space="preserve"> asked, </w:t>
      </w:r>
      <w:proofErr w:type="spellStart"/>
      <w:r w:rsidR="00B47C44">
        <w:rPr>
          <w:rFonts w:ascii="Times New Roman" w:hAnsi="Times New Roman" w:cs="Times New Roman"/>
          <w:sz w:val="24"/>
          <w:szCs w:val="24"/>
        </w:rPr>
        <w:t>Kitter</w:t>
      </w:r>
      <w:proofErr w:type="spellEnd"/>
      <w:r w:rsidR="00B47C44">
        <w:rPr>
          <w:rFonts w:ascii="Times New Roman" w:hAnsi="Times New Roman" w:cs="Times New Roman"/>
          <w:sz w:val="24"/>
          <w:szCs w:val="24"/>
        </w:rPr>
        <w:t xml:space="preserve"> did not provide any written policy or rule by the Trust that existed that would have prevented the release of the information by the Trust.</w:t>
      </w:r>
      <w:r w:rsidR="00B47C44">
        <w:rPr>
          <w:rStyle w:val="FootnoteReference"/>
          <w:rFonts w:ascii="Times New Roman" w:hAnsi="Times New Roman" w:cs="Times New Roman"/>
          <w:sz w:val="24"/>
          <w:szCs w:val="24"/>
        </w:rPr>
        <w:footnoteReference w:id="103"/>
      </w:r>
      <w:r w:rsidR="00FA6DEC">
        <w:rPr>
          <w:rFonts w:ascii="Times New Roman" w:hAnsi="Times New Roman" w:cs="Times New Roman"/>
          <w:sz w:val="24"/>
          <w:szCs w:val="24"/>
        </w:rPr>
        <w:t xml:space="preserve"> Consequently, C</w:t>
      </w:r>
      <w:r w:rsidR="00B47C44">
        <w:rPr>
          <w:rFonts w:ascii="Times New Roman" w:hAnsi="Times New Roman" w:cs="Times New Roman"/>
          <w:sz w:val="24"/>
          <w:szCs w:val="24"/>
        </w:rPr>
        <w:t>EA violated its duty to bargain in good faith by failing to take reasonable steps to respond to the District’s request to provide information to the District during bargaining.</w:t>
      </w:r>
    </w:p>
    <w:p w:rsidR="00B47C44" w:rsidRPr="009D4995" w:rsidRDefault="00B47C44" w:rsidP="00284CFA">
      <w:pPr>
        <w:pStyle w:val="ListParagraph"/>
        <w:numPr>
          <w:ilvl w:val="0"/>
          <w:numId w:val="1"/>
        </w:numPr>
        <w:ind w:left="720"/>
        <w:jc w:val="both"/>
        <w:rPr>
          <w:rFonts w:ascii="Times New Roman" w:hAnsi="Times New Roman" w:cs="Times New Roman"/>
          <w:b/>
          <w:sz w:val="24"/>
          <w:szCs w:val="24"/>
        </w:rPr>
      </w:pPr>
      <w:r>
        <w:rPr>
          <w:rFonts w:ascii="Times New Roman" w:hAnsi="Times New Roman" w:cs="Times New Roman"/>
          <w:b/>
          <w:sz w:val="24"/>
          <w:szCs w:val="24"/>
        </w:rPr>
        <w:t>CONCLUSION</w:t>
      </w:r>
    </w:p>
    <w:p w:rsidR="00B47C44" w:rsidRDefault="00B47C44" w:rsidP="00284CFA">
      <w:pPr>
        <w:ind w:firstLine="720"/>
        <w:jc w:val="both"/>
        <w:rPr>
          <w:rFonts w:ascii="Times New Roman" w:hAnsi="Times New Roman" w:cs="Times New Roman"/>
          <w:sz w:val="24"/>
          <w:szCs w:val="24"/>
        </w:rPr>
      </w:pPr>
      <w:r>
        <w:rPr>
          <w:rFonts w:ascii="Times New Roman" w:hAnsi="Times New Roman" w:cs="Times New Roman"/>
          <w:sz w:val="24"/>
          <w:szCs w:val="24"/>
        </w:rPr>
        <w:t>After consideration of all of the evidence presented by the parties and the plead</w:t>
      </w:r>
      <w:r w:rsidR="006A50A8">
        <w:rPr>
          <w:rFonts w:ascii="Times New Roman" w:hAnsi="Times New Roman" w:cs="Times New Roman"/>
          <w:sz w:val="24"/>
          <w:szCs w:val="24"/>
        </w:rPr>
        <w:t>ings, we find that CEA</w:t>
      </w:r>
      <w:r>
        <w:rPr>
          <w:rFonts w:ascii="Times New Roman" w:hAnsi="Times New Roman" w:cs="Times New Roman"/>
          <w:sz w:val="24"/>
          <w:szCs w:val="24"/>
        </w:rPr>
        <w:t xml:space="preserve"> did not meet </w:t>
      </w:r>
      <w:r w:rsidR="006A50A8">
        <w:rPr>
          <w:rFonts w:ascii="Times New Roman" w:hAnsi="Times New Roman" w:cs="Times New Roman"/>
          <w:sz w:val="24"/>
          <w:szCs w:val="24"/>
        </w:rPr>
        <w:t xml:space="preserve">the Public Employment Relations Act </w:t>
      </w:r>
      <w:r>
        <w:rPr>
          <w:rFonts w:ascii="Times New Roman" w:hAnsi="Times New Roman" w:cs="Times New Roman"/>
          <w:sz w:val="24"/>
          <w:szCs w:val="24"/>
        </w:rPr>
        <w:t>good faith bargaining standard. As the District requested, we requ</w:t>
      </w:r>
      <w:r w:rsidR="00001543">
        <w:rPr>
          <w:rFonts w:ascii="Times New Roman" w:hAnsi="Times New Roman" w:cs="Times New Roman"/>
          <w:sz w:val="24"/>
          <w:szCs w:val="24"/>
        </w:rPr>
        <w:t>ire CEA</w:t>
      </w:r>
      <w:r>
        <w:rPr>
          <w:rFonts w:ascii="Times New Roman" w:hAnsi="Times New Roman" w:cs="Times New Roman"/>
          <w:sz w:val="24"/>
          <w:szCs w:val="24"/>
        </w:rPr>
        <w:t xml:space="preserve"> to take appropriate steps, whether through the NEA-Alaska Board of Dir</w:t>
      </w:r>
      <w:r w:rsidR="00001543">
        <w:rPr>
          <w:rFonts w:ascii="Times New Roman" w:hAnsi="Times New Roman" w:cs="Times New Roman"/>
          <w:sz w:val="24"/>
          <w:szCs w:val="24"/>
        </w:rPr>
        <w:t xml:space="preserve">ectors, or directly to the </w:t>
      </w:r>
      <w:r w:rsidR="00A06C2A">
        <w:rPr>
          <w:rFonts w:ascii="Times New Roman" w:hAnsi="Times New Roman" w:cs="Times New Roman"/>
          <w:sz w:val="24"/>
          <w:szCs w:val="24"/>
        </w:rPr>
        <w:t>Public Education Health Trust</w:t>
      </w:r>
      <w:r>
        <w:rPr>
          <w:rFonts w:ascii="Times New Roman" w:hAnsi="Times New Roman" w:cs="Times New Roman"/>
          <w:sz w:val="24"/>
          <w:szCs w:val="24"/>
        </w:rPr>
        <w:t>, that would allow the District to present its request to the trustees to obtain the requested information.</w:t>
      </w:r>
    </w:p>
    <w:p w:rsidR="00B47C44" w:rsidRDefault="00B47C44" w:rsidP="00B47C44">
      <w:pPr>
        <w:ind w:firstLine="720"/>
        <w:rPr>
          <w:rFonts w:ascii="Times New Roman" w:hAnsi="Times New Roman" w:cs="Times New Roman"/>
          <w:sz w:val="24"/>
          <w:szCs w:val="24"/>
        </w:rPr>
      </w:pPr>
    </w:p>
    <w:p w:rsidR="00B47C44" w:rsidRPr="00722708" w:rsidRDefault="00B47C44" w:rsidP="00B1457D">
      <w:pPr>
        <w:jc w:val="center"/>
        <w:rPr>
          <w:rFonts w:ascii="Times New Roman" w:hAnsi="Times New Roman" w:cs="Times New Roman"/>
          <w:b/>
          <w:sz w:val="24"/>
          <w:szCs w:val="24"/>
        </w:rPr>
      </w:pPr>
      <w:r w:rsidRPr="00722708">
        <w:rPr>
          <w:rFonts w:ascii="Times New Roman" w:hAnsi="Times New Roman" w:cs="Times New Roman"/>
          <w:b/>
          <w:sz w:val="24"/>
          <w:szCs w:val="24"/>
        </w:rPr>
        <w:t>ORDER</w:t>
      </w:r>
    </w:p>
    <w:p w:rsidR="00B47C44" w:rsidRDefault="008A4050" w:rsidP="00B47C4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w:t>
      </w:r>
      <w:r w:rsidR="00B47C44">
        <w:rPr>
          <w:rFonts w:ascii="Times New Roman" w:hAnsi="Times New Roman" w:cs="Times New Roman"/>
          <w:sz w:val="24"/>
          <w:szCs w:val="24"/>
        </w:rPr>
        <w:t xml:space="preserve">EA is ordered to CEASE AND DESIST its refusal to make reasonable effort to obtain the health claims data sought by the district. </w:t>
      </w:r>
    </w:p>
    <w:p w:rsidR="00ED1784" w:rsidRDefault="008A4050" w:rsidP="00ED178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w:t>
      </w:r>
      <w:r w:rsidR="00ED1784">
        <w:rPr>
          <w:rFonts w:ascii="Times New Roman" w:hAnsi="Times New Roman" w:cs="Times New Roman"/>
          <w:sz w:val="24"/>
          <w:szCs w:val="24"/>
        </w:rPr>
        <w:t>EA is ordered to take appropriate steps, whether through the NEA-Alaska Board of Directors, or directly to the Board of Trustees, that would allow the District to present its request to the trustees to obtain the requested information.</w:t>
      </w:r>
    </w:p>
    <w:p w:rsidR="00B47C44" w:rsidRDefault="00E9470A" w:rsidP="00B47C4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District</w:t>
      </w:r>
      <w:r w:rsidR="00B47C44">
        <w:rPr>
          <w:rFonts w:ascii="Times New Roman" w:hAnsi="Times New Roman" w:cs="Times New Roman"/>
          <w:sz w:val="24"/>
          <w:szCs w:val="24"/>
        </w:rPr>
        <w:t xml:space="preserve"> is ordered to post notice of this decision w</w:t>
      </w:r>
      <w:r w:rsidR="00F00F2A">
        <w:rPr>
          <w:rFonts w:ascii="Times New Roman" w:hAnsi="Times New Roman" w:cs="Times New Roman"/>
          <w:sz w:val="24"/>
          <w:szCs w:val="24"/>
        </w:rPr>
        <w:t>ithin 10</w:t>
      </w:r>
      <w:r w:rsidR="00B47C44">
        <w:rPr>
          <w:rFonts w:ascii="Times New Roman" w:hAnsi="Times New Roman" w:cs="Times New Roman"/>
          <w:sz w:val="24"/>
          <w:szCs w:val="24"/>
        </w:rPr>
        <w:t xml:space="preserve"> days after service in workplaces of union members at locations, such as employee bulletin boards, reasonably chosen to give members actual notice of the decision. </w:t>
      </w:r>
    </w:p>
    <w:p w:rsidR="00C16789" w:rsidRPr="00C16789" w:rsidRDefault="00C16789" w:rsidP="00C16789">
      <w:pPr>
        <w:rPr>
          <w:rFonts w:ascii="Times New Roman" w:hAnsi="Times New Roman" w:cs="Times New Roman"/>
          <w:sz w:val="24"/>
          <w:szCs w:val="24"/>
        </w:rPr>
      </w:pPr>
    </w:p>
    <w:p w:rsidR="00C16789" w:rsidRPr="00C16789" w:rsidRDefault="00483D47" w:rsidP="00C16789">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Dated: </w:t>
      </w:r>
      <w:r w:rsidR="00EA167C">
        <w:rPr>
          <w:rFonts w:ascii="Times New Roman" w:eastAsia="Times New Roman" w:hAnsi="Times New Roman" w:cs="Times New Roman"/>
          <w:spacing w:val="-3"/>
          <w:sz w:val="24"/>
          <w:szCs w:val="24"/>
        </w:rPr>
        <w:t xml:space="preserve">February 28, 2019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C16789" w:rsidRPr="00C16789">
        <w:rPr>
          <w:rFonts w:ascii="Times New Roman" w:eastAsia="Times New Roman" w:hAnsi="Times New Roman" w:cs="Times New Roman"/>
          <w:spacing w:val="-3"/>
          <w:sz w:val="24"/>
          <w:szCs w:val="24"/>
        </w:rPr>
        <w:t>ALASKA LABOR RELATIONS AGENCY</w:t>
      </w:r>
    </w:p>
    <w:p w:rsidR="00C16789" w:rsidRPr="00C16789" w:rsidRDefault="00C16789" w:rsidP="00C16789">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p>
    <w:p w:rsidR="00C16789" w:rsidRPr="00C16789" w:rsidRDefault="00C16789" w:rsidP="00C16789">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p>
    <w:p w:rsidR="00C16789" w:rsidRPr="00C16789" w:rsidRDefault="00C16789" w:rsidP="00C16789">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t>____________________________________</w:t>
      </w:r>
    </w:p>
    <w:p w:rsidR="00C16789" w:rsidRPr="00C16789" w:rsidRDefault="00C16789" w:rsidP="00C16789">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 xml:space="preserve">Lee </w:t>
      </w:r>
      <w:proofErr w:type="spellStart"/>
      <w:r>
        <w:rPr>
          <w:rFonts w:ascii="Times New Roman" w:eastAsia="Times New Roman" w:hAnsi="Times New Roman" w:cs="Times New Roman"/>
          <w:spacing w:val="-3"/>
          <w:sz w:val="24"/>
          <w:szCs w:val="24"/>
        </w:rPr>
        <w:t>Holen</w:t>
      </w:r>
      <w:proofErr w:type="spellEnd"/>
      <w:r w:rsidRPr="00C16789">
        <w:rPr>
          <w:rFonts w:ascii="Times New Roman" w:eastAsia="Times New Roman" w:hAnsi="Times New Roman" w:cs="Times New Roman"/>
          <w:spacing w:val="-3"/>
          <w:sz w:val="24"/>
          <w:szCs w:val="24"/>
        </w:rPr>
        <w:t>, Vice Chair</w:t>
      </w:r>
    </w:p>
    <w:p w:rsidR="00C16789" w:rsidRPr="00C16789" w:rsidRDefault="00C16789" w:rsidP="00C16789">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p>
    <w:p w:rsidR="00C16789" w:rsidRPr="00C16789" w:rsidRDefault="00C16789" w:rsidP="00C16789">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p>
    <w:p w:rsidR="00C16789" w:rsidRPr="00C16789" w:rsidRDefault="00C16789" w:rsidP="00C16789">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t>____________________________________</w:t>
      </w:r>
    </w:p>
    <w:p w:rsidR="00C16789" w:rsidRPr="00C16789" w:rsidRDefault="00C16789" w:rsidP="00C16789">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t xml:space="preserve">Matthew R. </w:t>
      </w:r>
      <w:proofErr w:type="spellStart"/>
      <w:r w:rsidRPr="00C16789">
        <w:rPr>
          <w:rFonts w:ascii="Times New Roman" w:eastAsia="Times New Roman" w:hAnsi="Times New Roman" w:cs="Times New Roman"/>
          <w:spacing w:val="-3"/>
          <w:sz w:val="24"/>
          <w:szCs w:val="24"/>
        </w:rPr>
        <w:t>McSorley</w:t>
      </w:r>
      <w:proofErr w:type="spellEnd"/>
      <w:r w:rsidRPr="00C16789">
        <w:rPr>
          <w:rFonts w:ascii="Times New Roman" w:eastAsia="Times New Roman" w:hAnsi="Times New Roman" w:cs="Times New Roman"/>
          <w:spacing w:val="-3"/>
          <w:sz w:val="24"/>
          <w:szCs w:val="24"/>
        </w:rPr>
        <w:t>, Board Member</w:t>
      </w:r>
    </w:p>
    <w:p w:rsidR="00C16789" w:rsidRPr="00C16789" w:rsidRDefault="00C16789" w:rsidP="00C16789">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p>
    <w:p w:rsidR="00C16789" w:rsidRPr="00C16789" w:rsidRDefault="00C16789" w:rsidP="00C16789">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p>
    <w:p w:rsidR="00C16789" w:rsidRPr="00C16789" w:rsidRDefault="00C16789" w:rsidP="00C16789">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t>____________________________________</w:t>
      </w:r>
    </w:p>
    <w:p w:rsidR="00C16789" w:rsidRPr="00C16789" w:rsidRDefault="00C16789" w:rsidP="00C16789">
      <w:pPr>
        <w:spacing w:after="0" w:line="240" w:lineRule="auto"/>
        <w:ind w:firstLine="720"/>
        <w:jc w:val="both"/>
        <w:rPr>
          <w:rFonts w:ascii="Book Antiqua" w:eastAsia="Calibri" w:hAnsi="Book Antiqua" w:cs="Times New Roman"/>
          <w:sz w:val="24"/>
          <w:szCs w:val="24"/>
        </w:rPr>
      </w:pPr>
      <w:r w:rsidRPr="00C16789">
        <w:rPr>
          <w:rFonts w:ascii="Book Antiqua" w:eastAsia="Calibri" w:hAnsi="Book Antiqua" w:cs="Times New Roman"/>
          <w:sz w:val="24"/>
          <w:szCs w:val="24"/>
        </w:rPr>
        <w:tab/>
      </w:r>
      <w:r w:rsidRPr="00C16789">
        <w:rPr>
          <w:rFonts w:ascii="Book Antiqua" w:eastAsia="Calibri" w:hAnsi="Book Antiqua" w:cs="Times New Roman"/>
          <w:sz w:val="24"/>
          <w:szCs w:val="24"/>
        </w:rPr>
        <w:tab/>
      </w:r>
      <w:r w:rsidRPr="00C16789">
        <w:rPr>
          <w:rFonts w:ascii="Book Antiqua" w:eastAsia="Calibri" w:hAnsi="Book Antiqua" w:cs="Times New Roman"/>
          <w:sz w:val="24"/>
          <w:szCs w:val="24"/>
        </w:rPr>
        <w:tab/>
      </w:r>
      <w:r w:rsidRPr="00C16789">
        <w:rPr>
          <w:rFonts w:ascii="Book Antiqua" w:eastAsia="Calibri" w:hAnsi="Book Antiqua" w:cs="Times New Roman"/>
          <w:sz w:val="24"/>
          <w:szCs w:val="24"/>
        </w:rPr>
        <w:tab/>
      </w:r>
      <w:r w:rsidRPr="00C16789">
        <w:rPr>
          <w:rFonts w:ascii="Book Antiqua" w:eastAsia="Calibri" w:hAnsi="Book Antiqua" w:cs="Times New Roman"/>
          <w:sz w:val="24"/>
          <w:szCs w:val="24"/>
        </w:rPr>
        <w:tab/>
      </w:r>
      <w:r w:rsidRPr="00C16789">
        <w:rPr>
          <w:rFonts w:ascii="Book Antiqua" w:eastAsia="Calibri" w:hAnsi="Book Antiqua" w:cs="Times New Roman"/>
          <w:sz w:val="24"/>
          <w:szCs w:val="24"/>
        </w:rPr>
        <w:tab/>
        <w:t>Tyler Andrews, Board Member</w:t>
      </w:r>
    </w:p>
    <w:p w:rsidR="00C16789" w:rsidRPr="00C16789" w:rsidRDefault="00C16789" w:rsidP="00C16789">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p>
    <w:p w:rsidR="00C16789" w:rsidRPr="00C16789" w:rsidRDefault="00C16789" w:rsidP="00C16789">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p>
    <w:p w:rsidR="00C16789" w:rsidRPr="00C16789" w:rsidRDefault="00C16789" w:rsidP="00C16789">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p>
    <w:p w:rsidR="00C16789" w:rsidRPr="00C16789" w:rsidRDefault="00C16789" w:rsidP="00C16789">
      <w:pPr>
        <w:tabs>
          <w:tab w:val="center" w:pos="4680"/>
        </w:tabs>
        <w:suppressAutoHyphens/>
        <w:spacing w:after="0" w:line="240" w:lineRule="auto"/>
        <w:ind w:firstLine="720"/>
        <w:jc w:val="both"/>
        <w:rPr>
          <w:rFonts w:ascii="Times New Roman" w:eastAsia="Times New Roman" w:hAnsi="Times New Roman" w:cs="Times New Roman"/>
          <w:b/>
          <w:spacing w:val="-3"/>
          <w:sz w:val="24"/>
          <w:szCs w:val="24"/>
        </w:rPr>
      </w:pPr>
      <w:r w:rsidRPr="00C16789">
        <w:rPr>
          <w:rFonts w:ascii="Times New Roman" w:eastAsia="Times New Roman" w:hAnsi="Times New Roman" w:cs="Times New Roman"/>
          <w:spacing w:val="-3"/>
          <w:sz w:val="24"/>
          <w:szCs w:val="24"/>
        </w:rPr>
        <w:lastRenderedPageBreak/>
        <w:tab/>
      </w:r>
      <w:r w:rsidRPr="00C16789">
        <w:rPr>
          <w:rFonts w:ascii="Times New Roman" w:eastAsia="Times New Roman" w:hAnsi="Times New Roman" w:cs="Times New Roman"/>
          <w:b/>
          <w:spacing w:val="-3"/>
          <w:sz w:val="24"/>
          <w:szCs w:val="24"/>
          <w:u w:val="single"/>
        </w:rPr>
        <w:t>APPEAL PROCEDURES</w:t>
      </w:r>
    </w:p>
    <w:p w:rsidR="00C16789" w:rsidRPr="00C16789" w:rsidRDefault="00C16789" w:rsidP="00C16789">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p>
    <w:p w:rsidR="00C16789" w:rsidRPr="00C16789" w:rsidRDefault="00C16789" w:rsidP="00C16789">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r w:rsidRPr="00C16789">
        <w:rPr>
          <w:rFonts w:ascii="Times New Roman" w:eastAsia="Times New Roman" w:hAnsi="Times New Roman" w:cs="Times New Roman"/>
          <w:spacing w:val="-3"/>
          <w:sz w:val="24"/>
          <w:szCs w:val="24"/>
        </w:rPr>
        <w:t xml:space="preserve">This order is the </w:t>
      </w:r>
      <w:r>
        <w:rPr>
          <w:rFonts w:ascii="Times New Roman" w:eastAsia="Times New Roman" w:hAnsi="Times New Roman" w:cs="Times New Roman"/>
          <w:spacing w:val="-3"/>
          <w:sz w:val="24"/>
          <w:szCs w:val="24"/>
        </w:rPr>
        <w:t xml:space="preserve">final decision of this Agency. </w:t>
      </w:r>
      <w:r w:rsidRPr="00C16789">
        <w:rPr>
          <w:rFonts w:ascii="Times New Roman" w:eastAsia="Times New Roman" w:hAnsi="Times New Roman" w:cs="Times New Roman"/>
          <w:spacing w:val="-3"/>
          <w:sz w:val="24"/>
          <w:szCs w:val="24"/>
        </w:rPr>
        <w:t>Judicial review may be obtained by filing an appeal u</w:t>
      </w:r>
      <w:r>
        <w:rPr>
          <w:rFonts w:ascii="Times New Roman" w:eastAsia="Times New Roman" w:hAnsi="Times New Roman" w:cs="Times New Roman"/>
          <w:spacing w:val="-3"/>
          <w:sz w:val="24"/>
          <w:szCs w:val="24"/>
        </w:rPr>
        <w:t>nder Appellate Rule 602(a</w:t>
      </w:r>
      <w:proofErr w:type="gramStart"/>
      <w:r>
        <w:rPr>
          <w:rFonts w:ascii="Times New Roman" w:eastAsia="Times New Roman" w:hAnsi="Times New Roman" w:cs="Times New Roman"/>
          <w:spacing w:val="-3"/>
          <w:sz w:val="24"/>
          <w:szCs w:val="24"/>
        </w:rPr>
        <w:t>)(</w:t>
      </w:r>
      <w:proofErr w:type="gramEnd"/>
      <w:r>
        <w:rPr>
          <w:rFonts w:ascii="Times New Roman" w:eastAsia="Times New Roman" w:hAnsi="Times New Roman" w:cs="Times New Roman"/>
          <w:spacing w:val="-3"/>
          <w:sz w:val="24"/>
          <w:szCs w:val="24"/>
        </w:rPr>
        <w:t xml:space="preserve">2). </w:t>
      </w:r>
      <w:r w:rsidRPr="00C16789">
        <w:rPr>
          <w:rFonts w:ascii="Times New Roman" w:eastAsia="Times New Roman" w:hAnsi="Times New Roman" w:cs="Times New Roman"/>
          <w:spacing w:val="-3"/>
          <w:sz w:val="24"/>
          <w:szCs w:val="24"/>
        </w:rPr>
        <w:t>Any appeal must be taken within 30 days from the date of mailing or distribution of this decision.</w:t>
      </w:r>
    </w:p>
    <w:p w:rsidR="00C16789" w:rsidRPr="00C16789" w:rsidRDefault="00C16789" w:rsidP="00C16789">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p>
    <w:p w:rsidR="00C16789" w:rsidRPr="00C16789" w:rsidRDefault="00C16789" w:rsidP="00C16789">
      <w:pPr>
        <w:tabs>
          <w:tab w:val="center" w:pos="4680"/>
        </w:tabs>
        <w:suppressAutoHyphens/>
        <w:spacing w:after="0" w:line="240" w:lineRule="auto"/>
        <w:ind w:firstLine="720"/>
        <w:jc w:val="both"/>
        <w:rPr>
          <w:rFonts w:ascii="Times New Roman" w:eastAsia="Times New Roman" w:hAnsi="Times New Roman" w:cs="Times New Roman"/>
          <w:spacing w:val="-3"/>
          <w:sz w:val="24"/>
          <w:szCs w:val="24"/>
        </w:rPr>
      </w:pPr>
      <w:r w:rsidRPr="00C16789">
        <w:rPr>
          <w:rFonts w:ascii="Times New Roman" w:eastAsia="Times New Roman" w:hAnsi="Times New Roman" w:cs="Times New Roman"/>
          <w:spacing w:val="-3"/>
          <w:sz w:val="24"/>
          <w:szCs w:val="24"/>
        </w:rPr>
        <w:tab/>
      </w:r>
    </w:p>
    <w:p w:rsidR="00C16789" w:rsidRPr="00C16789" w:rsidRDefault="00C16789" w:rsidP="00C16789">
      <w:pPr>
        <w:tabs>
          <w:tab w:val="center" w:pos="4680"/>
        </w:tabs>
        <w:suppressAutoHyphens/>
        <w:spacing w:after="0" w:line="240" w:lineRule="auto"/>
        <w:ind w:firstLine="720"/>
        <w:jc w:val="center"/>
        <w:rPr>
          <w:rFonts w:ascii="Times New Roman" w:eastAsia="Times New Roman" w:hAnsi="Times New Roman" w:cs="Times New Roman"/>
          <w:b/>
          <w:spacing w:val="-3"/>
          <w:sz w:val="24"/>
          <w:szCs w:val="24"/>
        </w:rPr>
      </w:pPr>
      <w:r w:rsidRPr="00C16789">
        <w:rPr>
          <w:rFonts w:ascii="Times New Roman" w:eastAsia="Times New Roman" w:hAnsi="Times New Roman" w:cs="Times New Roman"/>
          <w:b/>
          <w:spacing w:val="-3"/>
          <w:sz w:val="24"/>
          <w:szCs w:val="24"/>
          <w:u w:val="single"/>
        </w:rPr>
        <w:t>CERTIFICATION</w:t>
      </w:r>
    </w:p>
    <w:p w:rsidR="00C16789" w:rsidRPr="00C16789" w:rsidRDefault="00C16789" w:rsidP="00C16789">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p>
    <w:p w:rsidR="00C16789" w:rsidRPr="00C16789" w:rsidRDefault="00C16789" w:rsidP="00C16789">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r w:rsidRPr="00C16789">
        <w:rPr>
          <w:rFonts w:ascii="Times New Roman" w:eastAsia="Times New Roman" w:hAnsi="Times New Roman" w:cs="Times New Roman"/>
          <w:spacing w:val="-3"/>
          <w:sz w:val="24"/>
          <w:szCs w:val="24"/>
        </w:rPr>
        <w:t xml:space="preserve">I hereby certify that the foregoing is a full, true and correct copy of the Decision and Order in the matter of </w:t>
      </w:r>
      <w:r>
        <w:rPr>
          <w:rFonts w:ascii="Times New Roman" w:eastAsia="Times New Roman" w:hAnsi="Times New Roman" w:cs="Times New Roman"/>
          <w:i/>
          <w:spacing w:val="-3"/>
          <w:sz w:val="24"/>
          <w:szCs w:val="24"/>
        </w:rPr>
        <w:t>Matanuska-Susitna Borough Schoo</w:t>
      </w:r>
      <w:r w:rsidR="00BD6F73">
        <w:rPr>
          <w:rFonts w:ascii="Times New Roman" w:eastAsia="Times New Roman" w:hAnsi="Times New Roman" w:cs="Times New Roman"/>
          <w:i/>
          <w:spacing w:val="-3"/>
          <w:sz w:val="24"/>
          <w:szCs w:val="24"/>
        </w:rPr>
        <w:t>l</w:t>
      </w:r>
      <w:r>
        <w:rPr>
          <w:rFonts w:ascii="Times New Roman" w:eastAsia="Times New Roman" w:hAnsi="Times New Roman" w:cs="Times New Roman"/>
          <w:i/>
          <w:spacing w:val="-3"/>
          <w:sz w:val="24"/>
          <w:szCs w:val="24"/>
        </w:rPr>
        <w:t xml:space="preserve"> District v. Classified Employees Association, NEA-AK/NEA</w:t>
      </w:r>
      <w:r w:rsidRPr="00C16789">
        <w:rPr>
          <w:rFonts w:ascii="Times New Roman" w:eastAsia="Times New Roman" w:hAnsi="Times New Roman" w:cs="Times New Roman"/>
          <w:i/>
          <w:spacing w:val="-3"/>
          <w:sz w:val="24"/>
          <w:szCs w:val="24"/>
        </w:rPr>
        <w:t xml:space="preserve">, </w:t>
      </w:r>
      <w:proofErr w:type="gramStart"/>
      <w:r w:rsidRPr="00C16789">
        <w:rPr>
          <w:rFonts w:ascii="Times New Roman" w:eastAsia="Times New Roman" w:hAnsi="Times New Roman" w:cs="Times New Roman"/>
          <w:spacing w:val="-3"/>
          <w:sz w:val="24"/>
          <w:szCs w:val="24"/>
        </w:rPr>
        <w:t>Case</w:t>
      </w:r>
      <w:proofErr w:type="gramEnd"/>
      <w:r w:rsidRPr="00C16789">
        <w:rPr>
          <w:rFonts w:ascii="Times New Roman" w:eastAsia="Times New Roman" w:hAnsi="Times New Roman" w:cs="Times New Roman"/>
          <w:spacing w:val="-3"/>
          <w:sz w:val="24"/>
          <w:szCs w:val="24"/>
        </w:rPr>
        <w:t xml:space="preserve"> No. 1</w:t>
      </w:r>
      <w:r>
        <w:rPr>
          <w:rFonts w:ascii="Times New Roman" w:eastAsia="Times New Roman" w:hAnsi="Times New Roman" w:cs="Times New Roman"/>
          <w:spacing w:val="-3"/>
          <w:sz w:val="24"/>
          <w:szCs w:val="24"/>
        </w:rPr>
        <w:t>7-1715</w:t>
      </w:r>
      <w:r w:rsidRPr="00C16789">
        <w:rPr>
          <w:rFonts w:ascii="Times New Roman" w:eastAsia="Times New Roman" w:hAnsi="Times New Roman" w:cs="Times New Roman"/>
          <w:spacing w:val="-3"/>
          <w:sz w:val="24"/>
          <w:szCs w:val="24"/>
        </w:rPr>
        <w:t>-ULP, dated and filed in the office of the Alaska Labor Relations Agency in Anchorage, Alaska, this 2</w:t>
      </w:r>
      <w:r>
        <w:rPr>
          <w:rFonts w:ascii="Times New Roman" w:eastAsia="Times New Roman" w:hAnsi="Times New Roman" w:cs="Times New Roman"/>
          <w:spacing w:val="-3"/>
          <w:sz w:val="24"/>
          <w:szCs w:val="24"/>
        </w:rPr>
        <w:t>8</w:t>
      </w:r>
      <w:r w:rsidRPr="00C16789">
        <w:rPr>
          <w:rFonts w:ascii="Times New Roman" w:eastAsia="Times New Roman" w:hAnsi="Times New Roman" w:cs="Times New Roman"/>
          <w:spacing w:val="-3"/>
          <w:sz w:val="24"/>
          <w:szCs w:val="24"/>
        </w:rPr>
        <w:t>th day of</w:t>
      </w:r>
      <w:r>
        <w:rPr>
          <w:rFonts w:ascii="Times New Roman" w:eastAsia="Times New Roman" w:hAnsi="Times New Roman" w:cs="Times New Roman"/>
          <w:spacing w:val="-3"/>
          <w:sz w:val="24"/>
          <w:szCs w:val="24"/>
        </w:rPr>
        <w:t xml:space="preserve"> February,</w:t>
      </w:r>
      <w:r w:rsidRPr="00C16789">
        <w:rPr>
          <w:rFonts w:ascii="Times New Roman" w:eastAsia="Times New Roman" w:hAnsi="Times New Roman" w:cs="Times New Roman"/>
          <w:spacing w:val="-3"/>
          <w:sz w:val="24"/>
          <w:szCs w:val="24"/>
        </w:rPr>
        <w:t xml:space="preserve"> 201</w:t>
      </w:r>
      <w:r>
        <w:rPr>
          <w:rFonts w:ascii="Times New Roman" w:eastAsia="Times New Roman" w:hAnsi="Times New Roman" w:cs="Times New Roman"/>
          <w:spacing w:val="-3"/>
          <w:sz w:val="24"/>
          <w:szCs w:val="24"/>
        </w:rPr>
        <w:t>9</w:t>
      </w:r>
      <w:r w:rsidRPr="00C16789">
        <w:rPr>
          <w:rFonts w:ascii="Times New Roman" w:eastAsia="Times New Roman" w:hAnsi="Times New Roman" w:cs="Times New Roman"/>
          <w:spacing w:val="-3"/>
          <w:sz w:val="24"/>
          <w:szCs w:val="24"/>
        </w:rPr>
        <w:t>.</w:t>
      </w:r>
    </w:p>
    <w:p w:rsidR="00C16789" w:rsidRPr="00C16789" w:rsidRDefault="00C16789" w:rsidP="00C16789">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p>
    <w:p w:rsidR="00C16789" w:rsidRPr="00C16789" w:rsidRDefault="00C16789" w:rsidP="00C16789">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p>
    <w:p w:rsidR="00C16789" w:rsidRPr="00C16789" w:rsidRDefault="00C16789" w:rsidP="00C16789">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u w:val="single"/>
        </w:rPr>
        <w:tab/>
      </w:r>
      <w:r w:rsidRPr="00C16789">
        <w:rPr>
          <w:rFonts w:ascii="Times New Roman" w:eastAsia="Times New Roman" w:hAnsi="Times New Roman" w:cs="Times New Roman"/>
          <w:spacing w:val="-3"/>
          <w:sz w:val="24"/>
          <w:szCs w:val="24"/>
          <w:u w:val="single"/>
        </w:rPr>
        <w:tab/>
      </w:r>
      <w:r w:rsidRPr="00C16789">
        <w:rPr>
          <w:rFonts w:ascii="Times New Roman" w:eastAsia="Times New Roman" w:hAnsi="Times New Roman" w:cs="Times New Roman"/>
          <w:spacing w:val="-3"/>
          <w:sz w:val="24"/>
          <w:szCs w:val="24"/>
          <w:u w:val="single"/>
        </w:rPr>
        <w:tab/>
      </w:r>
      <w:r w:rsidRPr="00C16789">
        <w:rPr>
          <w:rFonts w:ascii="Times New Roman" w:eastAsia="Times New Roman" w:hAnsi="Times New Roman" w:cs="Times New Roman"/>
          <w:spacing w:val="-3"/>
          <w:sz w:val="24"/>
          <w:szCs w:val="24"/>
          <w:u w:val="single"/>
        </w:rPr>
        <w:tab/>
      </w:r>
      <w:r w:rsidRPr="00C16789">
        <w:rPr>
          <w:rFonts w:ascii="Times New Roman" w:eastAsia="Times New Roman" w:hAnsi="Times New Roman" w:cs="Times New Roman"/>
          <w:spacing w:val="-3"/>
          <w:sz w:val="24"/>
          <w:szCs w:val="24"/>
          <w:u w:val="single"/>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t xml:space="preserve">Margaret </w:t>
      </w:r>
      <w:proofErr w:type="spellStart"/>
      <w:r w:rsidRPr="00C16789">
        <w:rPr>
          <w:rFonts w:ascii="Times New Roman" w:eastAsia="Times New Roman" w:hAnsi="Times New Roman" w:cs="Times New Roman"/>
          <w:spacing w:val="-3"/>
          <w:sz w:val="24"/>
          <w:szCs w:val="24"/>
        </w:rPr>
        <w:t>Yadlosky</w:t>
      </w:r>
      <w:proofErr w:type="spellEnd"/>
    </w:p>
    <w:p w:rsidR="00C16789" w:rsidRPr="00C16789" w:rsidRDefault="00C16789" w:rsidP="00C16789">
      <w:pPr>
        <w:tabs>
          <w:tab w:val="left" w:pos="-720"/>
        </w:tabs>
        <w:suppressAutoHyphens/>
        <w:spacing w:after="0" w:line="240" w:lineRule="auto"/>
        <w:ind w:firstLine="720"/>
        <w:jc w:val="both"/>
        <w:rPr>
          <w:rFonts w:ascii="Times New Roman" w:eastAsia="Times New Roman" w:hAnsi="Times New Roman" w:cs="Times New Roman"/>
          <w:spacing w:val="-3"/>
          <w:sz w:val="24"/>
          <w:szCs w:val="24"/>
        </w:rPr>
      </w:pP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r>
      <w:r w:rsidRPr="00C16789">
        <w:rPr>
          <w:rFonts w:ascii="Times New Roman" w:eastAsia="Times New Roman" w:hAnsi="Times New Roman" w:cs="Times New Roman"/>
          <w:spacing w:val="-3"/>
          <w:sz w:val="24"/>
          <w:szCs w:val="24"/>
        </w:rPr>
        <w:tab/>
        <w:t xml:space="preserve">Human Resource Consultant </w:t>
      </w:r>
    </w:p>
    <w:p w:rsidR="00C16789" w:rsidRPr="00C16789" w:rsidRDefault="00C16789" w:rsidP="00C16789">
      <w:pPr>
        <w:tabs>
          <w:tab w:val="left" w:pos="-720"/>
        </w:tabs>
        <w:suppressAutoHyphens/>
        <w:spacing w:after="0" w:line="240" w:lineRule="auto"/>
        <w:ind w:firstLine="720"/>
        <w:jc w:val="both"/>
        <w:rPr>
          <w:rFonts w:ascii="Times New Roman" w:eastAsia="Times New Roman" w:hAnsi="Times New Roman" w:cs="Times New Roman"/>
          <w:spacing w:val="-3"/>
          <w:sz w:val="20"/>
          <w:szCs w:val="20"/>
        </w:rPr>
      </w:pPr>
    </w:p>
    <w:p w:rsidR="00C16789" w:rsidRPr="00C16789" w:rsidRDefault="00C16789" w:rsidP="00C16789">
      <w:pPr>
        <w:tabs>
          <w:tab w:val="left" w:pos="-720"/>
        </w:tabs>
        <w:suppressAutoHyphens/>
        <w:spacing w:after="0" w:line="240" w:lineRule="auto"/>
        <w:ind w:right="5670"/>
        <w:jc w:val="both"/>
        <w:rPr>
          <w:rFonts w:ascii="Times New Roman" w:eastAsia="Times New Roman" w:hAnsi="Times New Roman" w:cs="Times New Roman"/>
          <w:spacing w:val="-3"/>
          <w:sz w:val="20"/>
          <w:szCs w:val="20"/>
        </w:rPr>
      </w:pPr>
      <w:r w:rsidRPr="00C16789">
        <w:rPr>
          <w:rFonts w:ascii="Times New Roman" w:eastAsia="Times New Roman" w:hAnsi="Times New Roman" w:cs="Times New Roman"/>
          <w:spacing w:val="-3"/>
          <w:sz w:val="20"/>
          <w:szCs w:val="20"/>
        </w:rPr>
        <w:t>This is to certify that on the ____day of</w:t>
      </w:r>
      <w:r>
        <w:rPr>
          <w:rFonts w:ascii="Times New Roman" w:eastAsia="Times New Roman" w:hAnsi="Times New Roman" w:cs="Times New Roman"/>
          <w:spacing w:val="-3"/>
          <w:sz w:val="20"/>
          <w:szCs w:val="20"/>
        </w:rPr>
        <w:t xml:space="preserve"> February</w:t>
      </w:r>
      <w:r w:rsidRPr="00C16789">
        <w:rPr>
          <w:rFonts w:ascii="Times New Roman" w:eastAsia="Times New Roman" w:hAnsi="Times New Roman" w:cs="Times New Roman"/>
          <w:spacing w:val="-3"/>
          <w:sz w:val="20"/>
          <w:szCs w:val="20"/>
        </w:rPr>
        <w:t>, 201</w:t>
      </w:r>
      <w:r>
        <w:rPr>
          <w:rFonts w:ascii="Times New Roman" w:eastAsia="Times New Roman" w:hAnsi="Times New Roman" w:cs="Times New Roman"/>
          <w:spacing w:val="-3"/>
          <w:sz w:val="20"/>
          <w:szCs w:val="20"/>
        </w:rPr>
        <w:t>9</w:t>
      </w:r>
      <w:r w:rsidRPr="00C16789">
        <w:rPr>
          <w:rFonts w:ascii="Times New Roman" w:eastAsia="Times New Roman" w:hAnsi="Times New Roman" w:cs="Times New Roman"/>
          <w:spacing w:val="-3"/>
          <w:sz w:val="20"/>
          <w:szCs w:val="20"/>
        </w:rPr>
        <w:t>, a true and correct copy of the foregoing was mailed, postage prepaid to:</w:t>
      </w:r>
    </w:p>
    <w:p w:rsidR="00C16789" w:rsidRPr="00C16789" w:rsidRDefault="00C16789" w:rsidP="00C16789">
      <w:pPr>
        <w:tabs>
          <w:tab w:val="left" w:pos="-720"/>
        </w:tabs>
        <w:suppressAutoHyphens/>
        <w:spacing w:after="0" w:line="240" w:lineRule="auto"/>
        <w:ind w:right="5670"/>
        <w:jc w:val="both"/>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u w:val="single"/>
        </w:rPr>
        <w:t>Saul Friedman</w:t>
      </w:r>
      <w:r w:rsidRPr="00C16789">
        <w:rPr>
          <w:rFonts w:ascii="Times New Roman" w:eastAsia="Times New Roman" w:hAnsi="Times New Roman" w:cs="Times New Roman"/>
          <w:spacing w:val="-3"/>
          <w:sz w:val="20"/>
          <w:szCs w:val="20"/>
          <w:u w:val="single"/>
        </w:rPr>
        <w:t xml:space="preserve">, </w:t>
      </w:r>
      <w:r>
        <w:rPr>
          <w:rFonts w:ascii="Times New Roman" w:eastAsia="Times New Roman" w:hAnsi="Times New Roman" w:cs="Times New Roman"/>
          <w:spacing w:val="-3"/>
          <w:sz w:val="20"/>
          <w:szCs w:val="20"/>
          <w:u w:val="single"/>
        </w:rPr>
        <w:t>MSBSD</w:t>
      </w:r>
      <w:r>
        <w:rPr>
          <w:rFonts w:ascii="Times New Roman" w:eastAsia="Times New Roman" w:hAnsi="Times New Roman" w:cs="Times New Roman"/>
          <w:spacing w:val="-3"/>
          <w:sz w:val="20"/>
          <w:szCs w:val="20"/>
          <w:u w:val="single"/>
        </w:rPr>
        <w:tab/>
      </w:r>
      <w:r>
        <w:rPr>
          <w:rFonts w:ascii="Times New Roman" w:eastAsia="Times New Roman" w:hAnsi="Times New Roman" w:cs="Times New Roman"/>
          <w:spacing w:val="-3"/>
          <w:sz w:val="20"/>
          <w:szCs w:val="20"/>
          <w:u w:val="single"/>
        </w:rPr>
        <w:tab/>
      </w:r>
      <w:r w:rsidRPr="00C16789">
        <w:rPr>
          <w:rFonts w:ascii="Times New Roman" w:eastAsia="Times New Roman" w:hAnsi="Times New Roman" w:cs="Times New Roman"/>
          <w:spacing w:val="-3"/>
          <w:sz w:val="20"/>
          <w:szCs w:val="20"/>
          <w:u w:val="single"/>
        </w:rPr>
        <w:tab/>
      </w:r>
    </w:p>
    <w:p w:rsidR="00C16789" w:rsidRPr="00C16789" w:rsidRDefault="00C16789" w:rsidP="00C16789">
      <w:pPr>
        <w:tabs>
          <w:tab w:val="left" w:pos="-720"/>
        </w:tabs>
        <w:suppressAutoHyphens/>
        <w:spacing w:after="0" w:line="240" w:lineRule="auto"/>
        <w:ind w:right="5670"/>
        <w:jc w:val="both"/>
        <w:rPr>
          <w:rFonts w:ascii="Times New Roman" w:eastAsia="Times New Roman" w:hAnsi="Times New Roman" w:cs="Times New Roman"/>
          <w:spacing w:val="-3"/>
          <w:sz w:val="20"/>
          <w:szCs w:val="20"/>
        </w:rPr>
      </w:pPr>
      <w:r>
        <w:rPr>
          <w:rFonts w:ascii="Times New Roman" w:eastAsia="Times New Roman" w:hAnsi="Times New Roman" w:cs="Times New Roman"/>
          <w:spacing w:val="-3"/>
          <w:sz w:val="20"/>
          <w:szCs w:val="20"/>
          <w:u w:val="single"/>
        </w:rPr>
        <w:t>Kim Dunn</w:t>
      </w:r>
      <w:r w:rsidRPr="00C16789">
        <w:rPr>
          <w:rFonts w:ascii="Times New Roman" w:eastAsia="Times New Roman" w:hAnsi="Times New Roman" w:cs="Times New Roman"/>
          <w:spacing w:val="-3"/>
          <w:sz w:val="20"/>
          <w:szCs w:val="20"/>
          <w:u w:val="single"/>
        </w:rPr>
        <w:t>,</w:t>
      </w:r>
      <w:r>
        <w:rPr>
          <w:rFonts w:ascii="Times New Roman" w:eastAsia="Times New Roman" w:hAnsi="Times New Roman" w:cs="Times New Roman"/>
          <w:spacing w:val="-3"/>
          <w:sz w:val="20"/>
          <w:szCs w:val="20"/>
          <w:u w:val="single"/>
        </w:rPr>
        <w:t xml:space="preserve"> CEA</w:t>
      </w:r>
      <w:r w:rsidRPr="00C16789">
        <w:rPr>
          <w:rFonts w:ascii="Times New Roman" w:eastAsia="Times New Roman" w:hAnsi="Times New Roman" w:cs="Times New Roman"/>
          <w:spacing w:val="-3"/>
          <w:sz w:val="20"/>
          <w:szCs w:val="20"/>
          <w:u w:val="single"/>
        </w:rPr>
        <w:tab/>
      </w:r>
      <w:r w:rsidRPr="00C16789">
        <w:rPr>
          <w:rFonts w:ascii="Times New Roman" w:eastAsia="Times New Roman" w:hAnsi="Times New Roman" w:cs="Times New Roman"/>
          <w:spacing w:val="-3"/>
          <w:sz w:val="20"/>
          <w:szCs w:val="20"/>
          <w:u w:val="single"/>
        </w:rPr>
        <w:tab/>
      </w:r>
      <w:r w:rsidRPr="00C16789">
        <w:rPr>
          <w:rFonts w:ascii="Times New Roman" w:eastAsia="Times New Roman" w:hAnsi="Times New Roman" w:cs="Times New Roman"/>
          <w:spacing w:val="-3"/>
          <w:sz w:val="20"/>
          <w:szCs w:val="20"/>
          <w:u w:val="single"/>
        </w:rPr>
        <w:tab/>
      </w:r>
      <w:r w:rsidRPr="00C16789">
        <w:rPr>
          <w:rFonts w:ascii="Times New Roman" w:eastAsia="Times New Roman" w:hAnsi="Times New Roman" w:cs="Times New Roman"/>
          <w:spacing w:val="-3"/>
          <w:sz w:val="20"/>
          <w:szCs w:val="20"/>
          <w:u w:val="single"/>
        </w:rPr>
        <w:tab/>
      </w:r>
      <w:r w:rsidRPr="00C16789">
        <w:rPr>
          <w:rFonts w:ascii="Times New Roman" w:eastAsia="Times New Roman" w:hAnsi="Times New Roman" w:cs="Times New Roman"/>
          <w:spacing w:val="-3"/>
          <w:sz w:val="20"/>
          <w:szCs w:val="20"/>
          <w:u w:val="single"/>
        </w:rPr>
        <w:tab/>
      </w:r>
      <w:r>
        <w:rPr>
          <w:rFonts w:ascii="Times New Roman" w:eastAsia="Times New Roman" w:hAnsi="Times New Roman" w:cs="Times New Roman"/>
          <w:spacing w:val="-3"/>
          <w:sz w:val="20"/>
          <w:szCs w:val="20"/>
          <w:u w:val="single"/>
        </w:rPr>
        <w:tab/>
      </w:r>
      <w:r>
        <w:rPr>
          <w:rFonts w:ascii="Times New Roman" w:eastAsia="Times New Roman" w:hAnsi="Times New Roman" w:cs="Times New Roman"/>
          <w:spacing w:val="-3"/>
          <w:sz w:val="20"/>
          <w:szCs w:val="20"/>
          <w:u w:val="single"/>
        </w:rPr>
        <w:tab/>
      </w:r>
      <w:r>
        <w:rPr>
          <w:rFonts w:ascii="Times New Roman" w:eastAsia="Times New Roman" w:hAnsi="Times New Roman" w:cs="Times New Roman"/>
          <w:spacing w:val="-3"/>
          <w:sz w:val="20"/>
          <w:szCs w:val="20"/>
          <w:u w:val="single"/>
        </w:rPr>
        <w:tab/>
      </w:r>
      <w:r>
        <w:rPr>
          <w:rFonts w:ascii="Times New Roman" w:eastAsia="Times New Roman" w:hAnsi="Times New Roman" w:cs="Times New Roman"/>
          <w:spacing w:val="-3"/>
          <w:sz w:val="20"/>
          <w:szCs w:val="20"/>
          <w:u w:val="single"/>
        </w:rPr>
        <w:tab/>
      </w:r>
    </w:p>
    <w:p w:rsidR="00C16789" w:rsidRPr="00C16789" w:rsidRDefault="00C16789" w:rsidP="00C16789">
      <w:pPr>
        <w:tabs>
          <w:tab w:val="left" w:pos="-720"/>
        </w:tabs>
        <w:suppressAutoHyphens/>
        <w:spacing w:after="0" w:line="240" w:lineRule="auto"/>
        <w:ind w:right="5670"/>
        <w:jc w:val="both"/>
        <w:rPr>
          <w:rFonts w:ascii="Times New Roman" w:eastAsia="Times New Roman" w:hAnsi="Times New Roman" w:cs="Times New Roman"/>
          <w:spacing w:val="-3"/>
          <w:sz w:val="20"/>
          <w:szCs w:val="20"/>
        </w:rPr>
      </w:pPr>
      <w:r w:rsidRPr="00C16789">
        <w:rPr>
          <w:rFonts w:ascii="Times New Roman" w:eastAsia="Times New Roman" w:hAnsi="Times New Roman" w:cs="Times New Roman"/>
          <w:spacing w:val="-3"/>
          <w:sz w:val="20"/>
          <w:szCs w:val="20"/>
        </w:rPr>
        <w:t>Signature</w:t>
      </w:r>
    </w:p>
    <w:p w:rsidR="00C16789" w:rsidRPr="00C16789" w:rsidRDefault="00C16789" w:rsidP="00C16789">
      <w:pPr>
        <w:tabs>
          <w:tab w:val="left" w:pos="-720"/>
        </w:tabs>
        <w:suppressAutoHyphens/>
        <w:spacing w:after="0" w:line="240" w:lineRule="auto"/>
        <w:ind w:right="5670"/>
        <w:jc w:val="both"/>
        <w:rPr>
          <w:rFonts w:ascii="Times New Roman" w:eastAsia="Times New Roman" w:hAnsi="Times New Roman" w:cs="Times New Roman"/>
          <w:spacing w:val="-3"/>
          <w:sz w:val="20"/>
          <w:szCs w:val="20"/>
        </w:rPr>
      </w:pPr>
    </w:p>
    <w:p w:rsidR="00B47C44" w:rsidRPr="00054BC4" w:rsidRDefault="00B47C44" w:rsidP="00B47C44">
      <w:pPr>
        <w:rPr>
          <w:rFonts w:ascii="Times New Roman" w:hAnsi="Times New Roman" w:cs="Times New Roman"/>
          <w:sz w:val="24"/>
          <w:szCs w:val="24"/>
        </w:rPr>
      </w:pPr>
    </w:p>
    <w:p w:rsidR="00B47C44" w:rsidRPr="00FC3986" w:rsidRDefault="00B47C44" w:rsidP="00B47C44">
      <w:pPr>
        <w:rPr>
          <w:rFonts w:ascii="Times New Roman" w:hAnsi="Times New Roman" w:cs="Times New Roman"/>
          <w:sz w:val="24"/>
          <w:szCs w:val="24"/>
        </w:rPr>
      </w:pPr>
    </w:p>
    <w:p w:rsidR="00834602" w:rsidRPr="00D52A7D" w:rsidRDefault="00834602" w:rsidP="00B47C44">
      <w:pPr>
        <w:ind w:firstLine="720"/>
        <w:jc w:val="both"/>
        <w:rPr>
          <w:rFonts w:ascii="Times New Roman" w:hAnsi="Times New Roman" w:cs="Times New Roman"/>
          <w:sz w:val="24"/>
          <w:szCs w:val="24"/>
        </w:rPr>
      </w:pPr>
    </w:p>
    <w:sectPr w:rsidR="00834602" w:rsidRPr="00D52A7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5AB" w:rsidRDefault="00AC65AB" w:rsidP="005F5CF1">
      <w:pPr>
        <w:spacing w:after="0" w:line="240" w:lineRule="auto"/>
      </w:pPr>
      <w:r>
        <w:separator/>
      </w:r>
    </w:p>
  </w:endnote>
  <w:endnote w:type="continuationSeparator" w:id="0">
    <w:p w:rsidR="00AC65AB" w:rsidRDefault="00AC65AB" w:rsidP="005F5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5AB" w:rsidRPr="00B47C44" w:rsidRDefault="00AC65AB">
    <w:pPr>
      <w:pStyle w:val="Footer"/>
      <w:rPr>
        <w:rFonts w:ascii="Times New Roman" w:hAnsi="Times New Roman" w:cs="Times New Roman"/>
        <w:noProof/>
      </w:rPr>
    </w:pPr>
    <w:r>
      <w:rPr>
        <w:rFonts w:ascii="Times New Roman" w:hAnsi="Times New Roman" w:cs="Times New Roman"/>
        <w:noProof/>
      </w:rPr>
      <w:t>Decision and Order No. 316</w:t>
    </w:r>
    <w:r>
      <w:rPr>
        <w:rFonts w:ascii="Times New Roman" w:hAnsi="Times New Roman" w:cs="Times New Roman"/>
        <w:noProof/>
      </w:rPr>
      <w:tab/>
    </w:r>
    <w:r>
      <w:rPr>
        <w:rFonts w:ascii="Times New Roman" w:hAnsi="Times New Roman" w:cs="Times New Roman"/>
        <w:noProof/>
      </w:rPr>
      <w:tab/>
    </w:r>
    <w:r w:rsidRPr="0006735F">
      <w:rPr>
        <w:rFonts w:ascii="Times New Roman" w:hAnsi="Times New Roman" w:cs="Times New Roman"/>
      </w:rPr>
      <w:t xml:space="preserve">Page </w:t>
    </w:r>
    <w:r w:rsidRPr="0006735F">
      <w:rPr>
        <w:rFonts w:ascii="Times New Roman" w:hAnsi="Times New Roman" w:cs="Times New Roman"/>
      </w:rPr>
      <w:fldChar w:fldCharType="begin"/>
    </w:r>
    <w:r w:rsidRPr="0006735F">
      <w:rPr>
        <w:rFonts w:ascii="Times New Roman" w:hAnsi="Times New Roman" w:cs="Times New Roman"/>
      </w:rPr>
      <w:instrText xml:space="preserve"> PAGE   \* MERGEFORMAT </w:instrText>
    </w:r>
    <w:r w:rsidRPr="0006735F">
      <w:rPr>
        <w:rFonts w:ascii="Times New Roman" w:hAnsi="Times New Roman" w:cs="Times New Roman"/>
      </w:rPr>
      <w:fldChar w:fldCharType="separate"/>
    </w:r>
    <w:r w:rsidR="003D57E5">
      <w:rPr>
        <w:rFonts w:ascii="Times New Roman" w:hAnsi="Times New Roman" w:cs="Times New Roman"/>
        <w:noProof/>
      </w:rPr>
      <w:t>11</w:t>
    </w:r>
    <w:r w:rsidRPr="0006735F">
      <w:rPr>
        <w:rFonts w:ascii="Times New Roman" w:hAnsi="Times New Roman" w:cs="Times New Roman"/>
        <w:noProof/>
      </w:rPr>
      <w:fldChar w:fldCharType="end"/>
    </w:r>
    <w:r>
      <w:rPr>
        <w:rFonts w:ascii="Times New Roman" w:hAnsi="Times New Roman" w:cs="Times New Roman"/>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5AB" w:rsidRDefault="00AC65AB" w:rsidP="005F5CF1">
      <w:pPr>
        <w:spacing w:after="0" w:line="240" w:lineRule="auto"/>
      </w:pPr>
      <w:r>
        <w:separator/>
      </w:r>
    </w:p>
  </w:footnote>
  <w:footnote w:type="continuationSeparator" w:id="0">
    <w:p w:rsidR="00AC65AB" w:rsidRDefault="00AC65AB" w:rsidP="005F5CF1">
      <w:pPr>
        <w:spacing w:after="0" w:line="240" w:lineRule="auto"/>
      </w:pPr>
      <w:r>
        <w:continuationSeparator/>
      </w:r>
    </w:p>
  </w:footnote>
  <w:footnote w:id="1">
    <w:p w:rsidR="00212FE6" w:rsidRPr="00212FE6" w:rsidRDefault="00212FE6">
      <w:pPr>
        <w:pStyle w:val="FootnoteText"/>
        <w:rPr>
          <w:rFonts w:ascii="Times New Roman" w:hAnsi="Times New Roman" w:cs="Times New Roman"/>
        </w:rPr>
      </w:pPr>
      <w:r w:rsidRPr="00212FE6">
        <w:rPr>
          <w:rStyle w:val="FootnoteReference"/>
          <w:rFonts w:ascii="Times New Roman" w:hAnsi="Times New Roman" w:cs="Times New Roman"/>
        </w:rPr>
        <w:footnoteRef/>
      </w:r>
      <w:r w:rsidRPr="00212FE6">
        <w:rPr>
          <w:rFonts w:ascii="Times New Roman" w:hAnsi="Times New Roman" w:cs="Times New Roman"/>
        </w:rPr>
        <w:t xml:space="preserve"> David </w:t>
      </w:r>
      <w:proofErr w:type="spellStart"/>
      <w:r w:rsidRPr="00212FE6">
        <w:rPr>
          <w:rFonts w:ascii="Times New Roman" w:hAnsi="Times New Roman" w:cs="Times New Roman"/>
        </w:rPr>
        <w:t>Theriault</w:t>
      </w:r>
      <w:proofErr w:type="spellEnd"/>
      <w:r w:rsidRPr="00212FE6">
        <w:rPr>
          <w:rFonts w:ascii="Times New Roman" w:hAnsi="Times New Roman" w:cs="Times New Roman"/>
        </w:rPr>
        <w:t xml:space="preserve"> Testimony</w:t>
      </w:r>
    </w:p>
  </w:footnote>
  <w:footnote w:id="2">
    <w:p w:rsidR="00195A20" w:rsidRDefault="00195A20" w:rsidP="00195A20">
      <w:pPr>
        <w:pStyle w:val="FootnoteText"/>
      </w:pPr>
      <w:r>
        <w:rPr>
          <w:rStyle w:val="FootnoteReference"/>
        </w:rPr>
        <w:footnoteRef/>
      </w:r>
      <w:r>
        <w:t xml:space="preserve"> </w:t>
      </w:r>
      <w:r w:rsidRPr="009C5A9A">
        <w:rPr>
          <w:rFonts w:ascii="Times New Roman" w:hAnsi="Times New Roman" w:cs="Times New Roman"/>
        </w:rPr>
        <w:t xml:space="preserve">Rhonda </w:t>
      </w:r>
      <w:proofErr w:type="spellStart"/>
      <w:r w:rsidRPr="009C5A9A">
        <w:rPr>
          <w:rFonts w:ascii="Times New Roman" w:hAnsi="Times New Roman" w:cs="Times New Roman"/>
        </w:rPr>
        <w:t>Kitter</w:t>
      </w:r>
      <w:proofErr w:type="spellEnd"/>
      <w:r w:rsidRPr="009C5A9A">
        <w:rPr>
          <w:rFonts w:ascii="Times New Roman" w:hAnsi="Times New Roman" w:cs="Times New Roman"/>
        </w:rPr>
        <w:t xml:space="preserve"> Testimony; Ex. 11.</w:t>
      </w:r>
    </w:p>
  </w:footnote>
  <w:footnote w:id="3">
    <w:p w:rsidR="00AC65AB" w:rsidRPr="00204CCC" w:rsidRDefault="00AC65AB" w:rsidP="00B47C44">
      <w:pPr>
        <w:pStyle w:val="FootnoteText"/>
        <w:rPr>
          <w:rFonts w:ascii="Times New Roman" w:hAnsi="Times New Roman"/>
        </w:rPr>
      </w:pPr>
      <w:r w:rsidRPr="00204CCC">
        <w:rPr>
          <w:rStyle w:val="FootnoteReference"/>
          <w:rFonts w:ascii="Times New Roman" w:hAnsi="Times New Roman"/>
        </w:rPr>
        <w:footnoteRef/>
      </w:r>
      <w:r w:rsidRPr="00204CCC">
        <w:rPr>
          <w:rFonts w:ascii="Times New Roman" w:hAnsi="Times New Roman"/>
        </w:rPr>
        <w:t xml:space="preserve"> Ex. V. </w:t>
      </w:r>
    </w:p>
  </w:footnote>
  <w:footnote w:id="4">
    <w:p w:rsidR="00AC65AB" w:rsidRPr="00DE0332" w:rsidRDefault="00AC65AB" w:rsidP="00B47C44">
      <w:pPr>
        <w:pStyle w:val="FootnoteText"/>
        <w:rPr>
          <w:rFonts w:ascii="Times New Roman" w:hAnsi="Times New Roman"/>
        </w:rPr>
      </w:pPr>
      <w:r w:rsidRPr="00DE0332">
        <w:rPr>
          <w:rStyle w:val="FootnoteReference"/>
          <w:rFonts w:ascii="Times New Roman" w:hAnsi="Times New Roman"/>
        </w:rPr>
        <w:footnoteRef/>
      </w:r>
      <w:r w:rsidRPr="00DE0332">
        <w:rPr>
          <w:rFonts w:ascii="Times New Roman" w:hAnsi="Times New Roman"/>
        </w:rPr>
        <w:t xml:space="preserve"> </w:t>
      </w:r>
      <w:proofErr w:type="spellStart"/>
      <w:r w:rsidRPr="00DE0332">
        <w:rPr>
          <w:rFonts w:ascii="Times New Roman" w:hAnsi="Times New Roman"/>
        </w:rPr>
        <w:t>Kitter</w:t>
      </w:r>
      <w:proofErr w:type="spellEnd"/>
      <w:r w:rsidRPr="00DE0332">
        <w:rPr>
          <w:rFonts w:ascii="Times New Roman" w:hAnsi="Times New Roman"/>
        </w:rPr>
        <w:t xml:space="preserve"> Testimony</w:t>
      </w:r>
      <w:r w:rsidR="00540B87">
        <w:rPr>
          <w:rFonts w:ascii="Times New Roman" w:hAnsi="Times New Roman"/>
        </w:rPr>
        <w:t xml:space="preserve">; Ex. 3 at 3. </w:t>
      </w:r>
    </w:p>
  </w:footnote>
  <w:footnote w:id="5">
    <w:p w:rsidR="00AC65AB" w:rsidRDefault="00AC65AB" w:rsidP="00B47C44">
      <w:pPr>
        <w:pStyle w:val="FootnoteText"/>
      </w:pPr>
      <w:r>
        <w:rPr>
          <w:rStyle w:val="FootnoteReference"/>
        </w:rPr>
        <w:footnoteRef/>
      </w:r>
      <w:r>
        <w:t xml:space="preserve"> </w:t>
      </w:r>
      <w:proofErr w:type="spellStart"/>
      <w:r w:rsidRPr="00DE0332">
        <w:rPr>
          <w:rFonts w:ascii="Times New Roman" w:hAnsi="Times New Roman"/>
        </w:rPr>
        <w:t>Kitter</w:t>
      </w:r>
      <w:proofErr w:type="spellEnd"/>
      <w:r w:rsidRPr="00DE0332">
        <w:rPr>
          <w:rFonts w:ascii="Times New Roman" w:hAnsi="Times New Roman"/>
        </w:rPr>
        <w:t xml:space="preserve"> Testimony</w:t>
      </w:r>
    </w:p>
  </w:footnote>
  <w:footnote w:id="6">
    <w:p w:rsidR="004C21DC" w:rsidRPr="004C21DC" w:rsidRDefault="00AC65AB" w:rsidP="00B47C44">
      <w:pPr>
        <w:pStyle w:val="FootnoteText"/>
        <w:rPr>
          <w:rFonts w:ascii="Times New Roman" w:hAnsi="Times New Roman"/>
        </w:rPr>
      </w:pPr>
      <w:r>
        <w:rPr>
          <w:rStyle w:val="FootnoteReference"/>
        </w:rPr>
        <w:footnoteRef/>
      </w:r>
      <w:r>
        <w:t xml:space="preserve"> </w:t>
      </w:r>
      <w:r w:rsidR="004C21DC" w:rsidRPr="004C21DC">
        <w:rPr>
          <w:rFonts w:ascii="Times New Roman" w:hAnsi="Times New Roman"/>
          <w:i/>
        </w:rPr>
        <w:t>Id</w:t>
      </w:r>
      <w:r w:rsidR="004C21DC">
        <w:rPr>
          <w:rFonts w:ascii="Times New Roman" w:hAnsi="Times New Roman"/>
        </w:rPr>
        <w:t>.</w:t>
      </w:r>
    </w:p>
  </w:footnote>
  <w:footnote w:id="7">
    <w:p w:rsidR="00AC65AB" w:rsidRDefault="00AC65AB" w:rsidP="00B47C44">
      <w:pPr>
        <w:pStyle w:val="FootnoteText"/>
      </w:pPr>
      <w:r>
        <w:rPr>
          <w:rStyle w:val="FootnoteReference"/>
        </w:rPr>
        <w:footnoteRef/>
      </w:r>
      <w:r>
        <w:t xml:space="preserve"> </w:t>
      </w:r>
      <w:proofErr w:type="spellStart"/>
      <w:r w:rsidRPr="00DE0332">
        <w:rPr>
          <w:rFonts w:ascii="Times New Roman" w:hAnsi="Times New Roman"/>
        </w:rPr>
        <w:t>Kitter</w:t>
      </w:r>
      <w:proofErr w:type="spellEnd"/>
      <w:r w:rsidRPr="00DE0332">
        <w:rPr>
          <w:rFonts w:ascii="Times New Roman" w:hAnsi="Times New Roman"/>
        </w:rPr>
        <w:t xml:space="preserve"> Testimony</w:t>
      </w:r>
      <w:r w:rsidR="00540B87">
        <w:rPr>
          <w:rFonts w:ascii="Times New Roman" w:hAnsi="Times New Roman"/>
        </w:rPr>
        <w:t>; Ex. 3 at 15.</w:t>
      </w:r>
    </w:p>
  </w:footnote>
  <w:footnote w:id="8">
    <w:p w:rsidR="00AC65AB" w:rsidRDefault="00AC65AB" w:rsidP="00B47C44">
      <w:pPr>
        <w:pStyle w:val="FootnoteText"/>
      </w:pPr>
      <w:r>
        <w:rPr>
          <w:rStyle w:val="FootnoteReference"/>
        </w:rPr>
        <w:footnoteRef/>
      </w:r>
      <w:r>
        <w:t xml:space="preserve"> </w:t>
      </w:r>
      <w:r w:rsidR="004C21DC" w:rsidRPr="004C21DC">
        <w:rPr>
          <w:rFonts w:ascii="Times New Roman" w:hAnsi="Times New Roman"/>
          <w:i/>
        </w:rPr>
        <w:t>Id</w:t>
      </w:r>
      <w:r w:rsidR="004C21DC">
        <w:rPr>
          <w:rFonts w:ascii="Times New Roman" w:hAnsi="Times New Roman"/>
        </w:rPr>
        <w:t xml:space="preserve">. </w:t>
      </w:r>
      <w:r w:rsidR="00540B87">
        <w:rPr>
          <w:rFonts w:ascii="Times New Roman" w:hAnsi="Times New Roman"/>
        </w:rPr>
        <w:t xml:space="preserve"> </w:t>
      </w:r>
    </w:p>
  </w:footnote>
  <w:footnote w:id="9">
    <w:p w:rsidR="00AC65AB" w:rsidRDefault="00AC65AB" w:rsidP="00B47C44">
      <w:pPr>
        <w:pStyle w:val="FootnoteText"/>
      </w:pPr>
      <w:r>
        <w:rPr>
          <w:rStyle w:val="FootnoteReference"/>
        </w:rPr>
        <w:footnoteRef/>
      </w:r>
      <w:r>
        <w:t xml:space="preserve"> </w:t>
      </w:r>
      <w:proofErr w:type="spellStart"/>
      <w:r w:rsidRPr="00DE0332">
        <w:rPr>
          <w:rFonts w:ascii="Times New Roman" w:hAnsi="Times New Roman"/>
        </w:rPr>
        <w:t>Kitter</w:t>
      </w:r>
      <w:proofErr w:type="spellEnd"/>
      <w:r w:rsidRPr="00DE0332">
        <w:rPr>
          <w:rFonts w:ascii="Times New Roman" w:hAnsi="Times New Roman"/>
        </w:rPr>
        <w:t xml:space="preserve"> Testimony</w:t>
      </w:r>
      <w:r w:rsidR="000521A2">
        <w:rPr>
          <w:rFonts w:ascii="Times New Roman" w:hAnsi="Times New Roman"/>
        </w:rPr>
        <w:t xml:space="preserve">; Ex. V. </w:t>
      </w:r>
    </w:p>
  </w:footnote>
  <w:footnote w:id="10">
    <w:p w:rsidR="00AC65AB" w:rsidRPr="006474B7" w:rsidRDefault="00AC65AB" w:rsidP="00B47C44">
      <w:pPr>
        <w:pStyle w:val="FootnoteText"/>
        <w:rPr>
          <w:rFonts w:ascii="Times New Roman" w:hAnsi="Times New Roman" w:cs="Times New Roman"/>
        </w:rPr>
      </w:pPr>
      <w:r w:rsidRPr="006474B7">
        <w:rPr>
          <w:rStyle w:val="FootnoteReference"/>
          <w:rFonts w:ascii="Times New Roman" w:hAnsi="Times New Roman" w:cs="Times New Roman"/>
        </w:rPr>
        <w:footnoteRef/>
      </w:r>
      <w:r>
        <w:rPr>
          <w:rFonts w:ascii="Times New Roman" w:hAnsi="Times New Roman" w:cs="Times New Roman"/>
        </w:rPr>
        <w:t xml:space="preserve"> </w:t>
      </w:r>
      <w:proofErr w:type="spellStart"/>
      <w:r w:rsidRPr="006474B7">
        <w:rPr>
          <w:rFonts w:ascii="Times New Roman" w:hAnsi="Times New Roman" w:cs="Times New Roman"/>
        </w:rPr>
        <w:t>Kitter</w:t>
      </w:r>
      <w:proofErr w:type="spellEnd"/>
      <w:r>
        <w:rPr>
          <w:rFonts w:ascii="Times New Roman" w:hAnsi="Times New Roman" w:cs="Times New Roman"/>
        </w:rPr>
        <w:t xml:space="preserve"> Testimony</w:t>
      </w:r>
      <w:r w:rsidRPr="006474B7">
        <w:rPr>
          <w:rFonts w:ascii="Times New Roman" w:hAnsi="Times New Roman" w:cs="Times New Roman"/>
        </w:rPr>
        <w:t xml:space="preserve">. </w:t>
      </w:r>
    </w:p>
  </w:footnote>
  <w:footnote w:id="11">
    <w:p w:rsidR="00AC65AB" w:rsidRDefault="00AC65AB" w:rsidP="00B47C44">
      <w:pPr>
        <w:pStyle w:val="FootnoteText"/>
      </w:pPr>
      <w:r>
        <w:rPr>
          <w:rStyle w:val="FootnoteReference"/>
        </w:rPr>
        <w:footnoteRef/>
      </w:r>
      <w:r>
        <w:t xml:space="preserve"> </w:t>
      </w:r>
      <w:r w:rsidR="004C21DC" w:rsidRPr="004C21DC">
        <w:rPr>
          <w:rFonts w:ascii="Times New Roman" w:hAnsi="Times New Roman"/>
          <w:i/>
        </w:rPr>
        <w:t>Id</w:t>
      </w:r>
      <w:r w:rsidR="004C21DC">
        <w:rPr>
          <w:rFonts w:ascii="Times New Roman" w:hAnsi="Times New Roman"/>
        </w:rPr>
        <w:t xml:space="preserve">.  </w:t>
      </w:r>
    </w:p>
  </w:footnote>
  <w:footnote w:id="12">
    <w:p w:rsidR="00AC65AB" w:rsidRPr="002A1753" w:rsidRDefault="00AC65AB" w:rsidP="00B47C44">
      <w:pPr>
        <w:pStyle w:val="FootnoteText"/>
        <w:rPr>
          <w:rFonts w:ascii="Times New Roman" w:hAnsi="Times New Roman"/>
        </w:rPr>
      </w:pPr>
      <w:r w:rsidRPr="002A1753">
        <w:rPr>
          <w:rStyle w:val="FootnoteReference"/>
          <w:rFonts w:ascii="Times New Roman" w:hAnsi="Times New Roman"/>
        </w:rPr>
        <w:footnoteRef/>
      </w:r>
      <w:r w:rsidRPr="002A1753">
        <w:rPr>
          <w:rFonts w:ascii="Times New Roman" w:hAnsi="Times New Roman"/>
        </w:rPr>
        <w:t xml:space="preserve"> </w:t>
      </w:r>
      <w:proofErr w:type="spellStart"/>
      <w:r w:rsidRPr="002A1753">
        <w:rPr>
          <w:rFonts w:ascii="Times New Roman" w:hAnsi="Times New Roman"/>
        </w:rPr>
        <w:t>Kitter</w:t>
      </w:r>
      <w:proofErr w:type="spellEnd"/>
      <w:r w:rsidRPr="002A1753">
        <w:rPr>
          <w:rFonts w:ascii="Times New Roman" w:hAnsi="Times New Roman"/>
        </w:rPr>
        <w:t xml:space="preserve"> Testimony</w:t>
      </w:r>
      <w:r w:rsidR="004C21DC">
        <w:rPr>
          <w:rFonts w:ascii="Times New Roman" w:hAnsi="Times New Roman"/>
        </w:rPr>
        <w:t>; Ex. 3 at 19-20.</w:t>
      </w:r>
    </w:p>
  </w:footnote>
  <w:footnote w:id="13">
    <w:p w:rsidR="00483A3B" w:rsidRDefault="00483A3B">
      <w:pPr>
        <w:pStyle w:val="FootnoteText"/>
      </w:pPr>
      <w:r>
        <w:rPr>
          <w:rStyle w:val="FootnoteReference"/>
        </w:rPr>
        <w:footnoteRef/>
      </w:r>
      <w:r>
        <w:t xml:space="preserve"> </w:t>
      </w:r>
      <w:r w:rsidRPr="00483A3B">
        <w:rPr>
          <w:rFonts w:ascii="Times New Roman" w:hAnsi="Times New Roman"/>
          <w:i/>
        </w:rPr>
        <w:t>Id</w:t>
      </w:r>
      <w:r>
        <w:rPr>
          <w:rFonts w:ascii="Times New Roman" w:hAnsi="Times New Roman"/>
        </w:rPr>
        <w:t xml:space="preserve">. </w:t>
      </w:r>
    </w:p>
  </w:footnote>
  <w:footnote w:id="14">
    <w:p w:rsidR="00AC65AB" w:rsidRPr="006D6609" w:rsidRDefault="00AC65AB" w:rsidP="00B47C44">
      <w:pPr>
        <w:pStyle w:val="FootnoteText"/>
        <w:rPr>
          <w:rFonts w:ascii="Times New Roman" w:hAnsi="Times New Roman"/>
        </w:rPr>
      </w:pPr>
      <w:r>
        <w:rPr>
          <w:rStyle w:val="FootnoteReference"/>
        </w:rPr>
        <w:footnoteRef/>
      </w:r>
      <w:r>
        <w:t xml:space="preserve"> </w:t>
      </w:r>
      <w:r w:rsidR="00483A3B" w:rsidRPr="00483A3B">
        <w:rPr>
          <w:rFonts w:ascii="Times New Roman" w:hAnsi="Times New Roman"/>
          <w:i/>
        </w:rPr>
        <w:t>Id</w:t>
      </w:r>
      <w:r w:rsidR="00483A3B">
        <w:rPr>
          <w:rFonts w:ascii="Times New Roman" w:hAnsi="Times New Roman"/>
        </w:rPr>
        <w:t xml:space="preserve">. </w:t>
      </w:r>
    </w:p>
  </w:footnote>
  <w:footnote w:id="15">
    <w:p w:rsidR="00AC65AB" w:rsidRDefault="00AC65AB" w:rsidP="00B47C44">
      <w:pPr>
        <w:pStyle w:val="FootnoteText"/>
      </w:pPr>
      <w:r>
        <w:rPr>
          <w:rStyle w:val="FootnoteReference"/>
        </w:rPr>
        <w:footnoteRef/>
      </w:r>
      <w:r>
        <w:t xml:space="preserve"> </w:t>
      </w:r>
      <w:proofErr w:type="spellStart"/>
      <w:r w:rsidRPr="002A1753">
        <w:rPr>
          <w:rFonts w:ascii="Times New Roman" w:hAnsi="Times New Roman"/>
        </w:rPr>
        <w:t>Kitter</w:t>
      </w:r>
      <w:proofErr w:type="spellEnd"/>
      <w:r w:rsidRPr="002A1753">
        <w:rPr>
          <w:rFonts w:ascii="Times New Roman" w:hAnsi="Times New Roman"/>
        </w:rPr>
        <w:t xml:space="preserve"> Testimony</w:t>
      </w:r>
      <w:r>
        <w:rPr>
          <w:rFonts w:ascii="Times New Roman" w:hAnsi="Times New Roman"/>
        </w:rPr>
        <w:t>.</w:t>
      </w:r>
    </w:p>
  </w:footnote>
  <w:footnote w:id="16">
    <w:p w:rsidR="00AC65AB" w:rsidRDefault="00AC65AB" w:rsidP="00B47C44">
      <w:pPr>
        <w:pStyle w:val="FootnoteText"/>
      </w:pPr>
      <w:r>
        <w:rPr>
          <w:rStyle w:val="FootnoteReference"/>
        </w:rPr>
        <w:footnoteRef/>
      </w:r>
      <w:r>
        <w:t xml:space="preserve"> </w:t>
      </w:r>
      <w:r w:rsidR="00913D7A" w:rsidRPr="00483A3B">
        <w:rPr>
          <w:rFonts w:ascii="Times New Roman" w:hAnsi="Times New Roman"/>
          <w:i/>
        </w:rPr>
        <w:t>Id</w:t>
      </w:r>
    </w:p>
  </w:footnote>
  <w:footnote w:id="17">
    <w:p w:rsidR="00AC65AB" w:rsidRDefault="00AC65AB" w:rsidP="00B47C44">
      <w:pPr>
        <w:pStyle w:val="FootnoteText"/>
      </w:pPr>
      <w:r>
        <w:rPr>
          <w:rStyle w:val="FootnoteReference"/>
        </w:rPr>
        <w:footnoteRef/>
      </w:r>
      <w:r>
        <w:t xml:space="preserve"> </w:t>
      </w:r>
      <w:r w:rsidR="00913D7A" w:rsidRPr="00483A3B">
        <w:rPr>
          <w:rFonts w:ascii="Times New Roman" w:hAnsi="Times New Roman"/>
          <w:i/>
        </w:rPr>
        <w:t>Id</w:t>
      </w:r>
    </w:p>
  </w:footnote>
  <w:footnote w:id="18">
    <w:p w:rsidR="00AC65AB" w:rsidRDefault="00AC65AB" w:rsidP="00B47C44">
      <w:pPr>
        <w:pStyle w:val="FootnoteText"/>
      </w:pPr>
      <w:r>
        <w:rPr>
          <w:rStyle w:val="FootnoteReference"/>
        </w:rPr>
        <w:footnoteRef/>
      </w:r>
      <w:r>
        <w:t xml:space="preserve"> </w:t>
      </w:r>
      <w:r w:rsidR="00913D7A" w:rsidRPr="00483A3B">
        <w:rPr>
          <w:rFonts w:ascii="Times New Roman" w:hAnsi="Times New Roman"/>
          <w:i/>
        </w:rPr>
        <w:t>Id</w:t>
      </w:r>
    </w:p>
  </w:footnote>
  <w:footnote w:id="19">
    <w:p w:rsidR="00AC65AB" w:rsidRDefault="00AC65AB" w:rsidP="00B47C44">
      <w:pPr>
        <w:pStyle w:val="FootnoteText"/>
      </w:pPr>
      <w:r>
        <w:rPr>
          <w:rStyle w:val="FootnoteReference"/>
        </w:rPr>
        <w:footnoteRef/>
      </w:r>
      <w:r>
        <w:t xml:space="preserve"> </w:t>
      </w:r>
      <w:r w:rsidR="00913D7A" w:rsidRPr="00483A3B">
        <w:rPr>
          <w:rFonts w:ascii="Times New Roman" w:hAnsi="Times New Roman"/>
          <w:i/>
        </w:rPr>
        <w:t>Id</w:t>
      </w:r>
    </w:p>
  </w:footnote>
  <w:footnote w:id="20">
    <w:p w:rsidR="00AC65AB" w:rsidRDefault="00AC65AB" w:rsidP="00B47C44">
      <w:pPr>
        <w:pStyle w:val="FootnoteText"/>
      </w:pPr>
      <w:r>
        <w:rPr>
          <w:rStyle w:val="FootnoteReference"/>
        </w:rPr>
        <w:footnoteRef/>
      </w:r>
      <w:r>
        <w:t xml:space="preserve"> </w:t>
      </w:r>
      <w:proofErr w:type="spellStart"/>
      <w:r w:rsidRPr="002A1753">
        <w:rPr>
          <w:rFonts w:ascii="Times New Roman" w:hAnsi="Times New Roman"/>
        </w:rPr>
        <w:t>Kitter</w:t>
      </w:r>
      <w:proofErr w:type="spellEnd"/>
      <w:r w:rsidRPr="002A1753">
        <w:rPr>
          <w:rFonts w:ascii="Times New Roman" w:hAnsi="Times New Roman"/>
        </w:rPr>
        <w:t xml:space="preserve"> Testimony</w:t>
      </w:r>
      <w:r>
        <w:rPr>
          <w:rFonts w:ascii="Times New Roman" w:hAnsi="Times New Roman"/>
        </w:rPr>
        <w:t>; Ex. 16.</w:t>
      </w:r>
    </w:p>
  </w:footnote>
  <w:footnote w:id="21">
    <w:p w:rsidR="00AC65AB" w:rsidRPr="006D2F60" w:rsidRDefault="00AC65AB" w:rsidP="00B47C44">
      <w:pPr>
        <w:pStyle w:val="FootnoteText"/>
        <w:rPr>
          <w:rFonts w:ascii="Times New Roman" w:hAnsi="Times New Roman"/>
        </w:rPr>
      </w:pPr>
      <w:r w:rsidRPr="006D2F60">
        <w:rPr>
          <w:rStyle w:val="FootnoteReference"/>
          <w:rFonts w:ascii="Times New Roman" w:hAnsi="Times New Roman"/>
        </w:rPr>
        <w:footnoteRef/>
      </w:r>
      <w:r w:rsidRPr="006D2F60">
        <w:rPr>
          <w:rFonts w:ascii="Times New Roman" w:hAnsi="Times New Roman"/>
        </w:rPr>
        <w:t xml:space="preserve"> Health Insurance Portability and Accountability Act.</w:t>
      </w:r>
    </w:p>
  </w:footnote>
  <w:footnote w:id="22">
    <w:p w:rsidR="00AC65AB" w:rsidRPr="006D2F60" w:rsidRDefault="00AC65AB" w:rsidP="00B47C44">
      <w:pPr>
        <w:pStyle w:val="FootnoteText"/>
        <w:rPr>
          <w:rFonts w:ascii="Times New Roman" w:hAnsi="Times New Roman"/>
        </w:rPr>
      </w:pPr>
      <w:r w:rsidRPr="006D2F60">
        <w:rPr>
          <w:rStyle w:val="FootnoteReference"/>
          <w:rFonts w:ascii="Times New Roman" w:hAnsi="Times New Roman"/>
        </w:rPr>
        <w:footnoteRef/>
      </w:r>
      <w:r w:rsidRPr="006D2F60">
        <w:rPr>
          <w:rFonts w:ascii="Times New Roman" w:hAnsi="Times New Roman"/>
        </w:rPr>
        <w:t xml:space="preserve"> Protected Health Information</w:t>
      </w:r>
    </w:p>
  </w:footnote>
  <w:footnote w:id="23">
    <w:p w:rsidR="00AC65AB" w:rsidRDefault="00AC65AB" w:rsidP="00B47C44">
      <w:pPr>
        <w:pStyle w:val="FootnoteText"/>
      </w:pPr>
      <w:r>
        <w:rPr>
          <w:rStyle w:val="FootnoteReference"/>
        </w:rPr>
        <w:footnoteRef/>
      </w:r>
      <w:r>
        <w:t xml:space="preserve"> </w:t>
      </w:r>
      <w:proofErr w:type="spellStart"/>
      <w:r w:rsidRPr="001E7101">
        <w:rPr>
          <w:rFonts w:ascii="Times New Roman" w:hAnsi="Times New Roman" w:cs="Times New Roman"/>
          <w:szCs w:val="24"/>
        </w:rPr>
        <w:t>Kitter</w:t>
      </w:r>
      <w:proofErr w:type="spellEnd"/>
      <w:r>
        <w:rPr>
          <w:rFonts w:ascii="Times New Roman" w:hAnsi="Times New Roman" w:cs="Times New Roman"/>
          <w:szCs w:val="24"/>
        </w:rPr>
        <w:t xml:space="preserve"> Testimony; Ex. F </w:t>
      </w:r>
      <w:r w:rsidR="00913D7A">
        <w:rPr>
          <w:rFonts w:ascii="Times New Roman" w:hAnsi="Times New Roman" w:cs="Times New Roman"/>
          <w:szCs w:val="24"/>
        </w:rPr>
        <w:t xml:space="preserve">at </w:t>
      </w:r>
      <w:r w:rsidRPr="001E7101">
        <w:rPr>
          <w:rFonts w:ascii="Times New Roman" w:hAnsi="Times New Roman" w:cs="Times New Roman"/>
          <w:szCs w:val="24"/>
        </w:rPr>
        <w:t>34-39.</w:t>
      </w:r>
    </w:p>
  </w:footnote>
  <w:footnote w:id="24">
    <w:p w:rsidR="00AC65AB" w:rsidRDefault="00AC65AB" w:rsidP="00B47C44">
      <w:pPr>
        <w:pStyle w:val="FootnoteText"/>
      </w:pPr>
      <w:r>
        <w:rPr>
          <w:rStyle w:val="FootnoteReference"/>
        </w:rPr>
        <w:footnoteRef/>
      </w:r>
      <w:r>
        <w:t xml:space="preserve"> </w:t>
      </w:r>
      <w:proofErr w:type="spellStart"/>
      <w:r w:rsidRPr="002A1753">
        <w:rPr>
          <w:rFonts w:ascii="Times New Roman" w:hAnsi="Times New Roman"/>
        </w:rPr>
        <w:t>Kitter</w:t>
      </w:r>
      <w:proofErr w:type="spellEnd"/>
      <w:r w:rsidRPr="002A1753">
        <w:rPr>
          <w:rFonts w:ascii="Times New Roman" w:hAnsi="Times New Roman"/>
        </w:rPr>
        <w:t xml:space="preserve"> Testimony</w:t>
      </w:r>
      <w:r>
        <w:rPr>
          <w:rFonts w:ascii="Times New Roman" w:hAnsi="Times New Roman"/>
        </w:rPr>
        <w:t>.</w:t>
      </w:r>
    </w:p>
  </w:footnote>
  <w:footnote w:id="25">
    <w:p w:rsidR="00AC65AB" w:rsidRDefault="00AC65AB" w:rsidP="00B47C44">
      <w:pPr>
        <w:pStyle w:val="FootnoteText"/>
      </w:pPr>
      <w:r>
        <w:rPr>
          <w:rStyle w:val="FootnoteReference"/>
        </w:rPr>
        <w:footnoteRef/>
      </w:r>
      <w:r>
        <w:t xml:space="preserve"> </w:t>
      </w:r>
      <w:r w:rsidR="00B968C7" w:rsidRPr="00483A3B">
        <w:rPr>
          <w:rFonts w:ascii="Times New Roman" w:hAnsi="Times New Roman"/>
          <w:i/>
        </w:rPr>
        <w:t>Id</w:t>
      </w:r>
    </w:p>
  </w:footnote>
  <w:footnote w:id="26">
    <w:p w:rsidR="00AC65AB" w:rsidRDefault="00AC65AB" w:rsidP="00B47C44">
      <w:pPr>
        <w:pStyle w:val="FootnoteText"/>
      </w:pPr>
      <w:r>
        <w:rPr>
          <w:rStyle w:val="FootnoteReference"/>
        </w:rPr>
        <w:footnoteRef/>
      </w:r>
      <w:r>
        <w:t xml:space="preserve"> </w:t>
      </w:r>
      <w:r w:rsidR="00B968C7" w:rsidRPr="00483A3B">
        <w:rPr>
          <w:rFonts w:ascii="Times New Roman" w:hAnsi="Times New Roman"/>
          <w:i/>
        </w:rPr>
        <w:t>Id</w:t>
      </w:r>
    </w:p>
  </w:footnote>
  <w:footnote w:id="27">
    <w:p w:rsidR="00AC65AB" w:rsidRDefault="00AC65AB" w:rsidP="00B47C44">
      <w:pPr>
        <w:pStyle w:val="FootnoteText"/>
      </w:pPr>
      <w:r>
        <w:rPr>
          <w:rStyle w:val="FootnoteReference"/>
        </w:rPr>
        <w:footnoteRef/>
      </w:r>
      <w:r>
        <w:t xml:space="preserve"> </w:t>
      </w:r>
      <w:r w:rsidR="00B968C7" w:rsidRPr="00483A3B">
        <w:rPr>
          <w:rFonts w:ascii="Times New Roman" w:hAnsi="Times New Roman"/>
          <w:i/>
        </w:rPr>
        <w:t>Id</w:t>
      </w:r>
      <w:r w:rsidR="00CC2257">
        <w:rPr>
          <w:rFonts w:ascii="Times New Roman" w:hAnsi="Times New Roman"/>
          <w:i/>
        </w:rPr>
        <w:t>.</w:t>
      </w:r>
    </w:p>
  </w:footnote>
  <w:footnote w:id="28">
    <w:p w:rsidR="00AC65AB" w:rsidRDefault="00AC65AB" w:rsidP="00B47C44">
      <w:pPr>
        <w:pStyle w:val="FootnoteText"/>
      </w:pPr>
      <w:r>
        <w:rPr>
          <w:rStyle w:val="FootnoteReference"/>
        </w:rPr>
        <w:footnoteRef/>
      </w:r>
      <w:r>
        <w:t xml:space="preserve"> </w:t>
      </w:r>
      <w:r w:rsidR="00B968C7" w:rsidRPr="00483A3B">
        <w:rPr>
          <w:rFonts w:ascii="Times New Roman" w:hAnsi="Times New Roman"/>
          <w:i/>
        </w:rPr>
        <w:t>Id</w:t>
      </w:r>
      <w:r w:rsidR="00CC2257">
        <w:rPr>
          <w:rFonts w:ascii="Times New Roman" w:hAnsi="Times New Roman"/>
          <w:i/>
        </w:rPr>
        <w:t>.</w:t>
      </w:r>
    </w:p>
  </w:footnote>
  <w:footnote w:id="29">
    <w:p w:rsidR="00AC65AB" w:rsidRDefault="00AC65AB" w:rsidP="00B47C44">
      <w:pPr>
        <w:pStyle w:val="FootnoteText"/>
      </w:pPr>
      <w:r>
        <w:rPr>
          <w:rStyle w:val="FootnoteReference"/>
        </w:rPr>
        <w:footnoteRef/>
      </w:r>
      <w:r>
        <w:t xml:space="preserve"> </w:t>
      </w:r>
      <w:r w:rsidR="00B968C7" w:rsidRPr="00483A3B">
        <w:rPr>
          <w:rFonts w:ascii="Times New Roman" w:hAnsi="Times New Roman"/>
          <w:i/>
        </w:rPr>
        <w:t>Id</w:t>
      </w:r>
      <w:r w:rsidR="00CC2257">
        <w:rPr>
          <w:rFonts w:ascii="Times New Roman" w:hAnsi="Times New Roman"/>
          <w:i/>
        </w:rPr>
        <w:t>.</w:t>
      </w:r>
    </w:p>
  </w:footnote>
  <w:footnote w:id="30">
    <w:p w:rsidR="00AC65AB" w:rsidRPr="00E544AA" w:rsidRDefault="00AC65AB" w:rsidP="00B47C44">
      <w:pPr>
        <w:pStyle w:val="FootnoteText"/>
        <w:rPr>
          <w:rFonts w:ascii="Times New Roman" w:hAnsi="Times New Roman" w:cs="Times New Roman"/>
        </w:rPr>
      </w:pPr>
      <w:r w:rsidRPr="00E544AA">
        <w:rPr>
          <w:rStyle w:val="FootnoteReference"/>
          <w:rFonts w:ascii="Times New Roman" w:hAnsi="Times New Roman" w:cs="Times New Roman"/>
        </w:rPr>
        <w:footnoteRef/>
      </w:r>
      <w:r w:rsidRPr="00E544AA">
        <w:rPr>
          <w:rFonts w:ascii="Times New Roman" w:hAnsi="Times New Roman" w:cs="Times New Roman"/>
        </w:rPr>
        <w:t xml:space="preserve"> </w:t>
      </w:r>
      <w:r w:rsidR="00B968C7" w:rsidRPr="00483A3B">
        <w:rPr>
          <w:rFonts w:ascii="Times New Roman" w:hAnsi="Times New Roman"/>
          <w:i/>
        </w:rPr>
        <w:t>Id</w:t>
      </w:r>
      <w:r w:rsidR="00CC2257">
        <w:rPr>
          <w:rFonts w:ascii="Times New Roman" w:hAnsi="Times New Roman"/>
          <w:i/>
        </w:rPr>
        <w:t>.</w:t>
      </w:r>
    </w:p>
  </w:footnote>
  <w:footnote w:id="31">
    <w:p w:rsidR="00AC65AB" w:rsidRDefault="00AC65AB" w:rsidP="00B47C44">
      <w:pPr>
        <w:pStyle w:val="FootnoteText"/>
      </w:pPr>
      <w:r>
        <w:rPr>
          <w:rStyle w:val="FootnoteReference"/>
        </w:rPr>
        <w:footnoteRef/>
      </w:r>
      <w:r>
        <w:t xml:space="preserve"> </w:t>
      </w:r>
      <w:r w:rsidR="00B968C7" w:rsidRPr="00483A3B">
        <w:rPr>
          <w:rFonts w:ascii="Times New Roman" w:hAnsi="Times New Roman"/>
          <w:i/>
        </w:rPr>
        <w:t>Id</w:t>
      </w:r>
      <w:r w:rsidR="00CC2257">
        <w:rPr>
          <w:rFonts w:ascii="Times New Roman" w:hAnsi="Times New Roman"/>
          <w:i/>
        </w:rPr>
        <w:t>.</w:t>
      </w:r>
    </w:p>
  </w:footnote>
  <w:footnote w:id="32">
    <w:p w:rsidR="00AC65AB" w:rsidRDefault="00AC65AB" w:rsidP="00B47C44">
      <w:pPr>
        <w:pStyle w:val="FootnoteText"/>
      </w:pPr>
      <w:r>
        <w:rPr>
          <w:rStyle w:val="FootnoteReference"/>
        </w:rPr>
        <w:footnoteRef/>
      </w:r>
      <w:r>
        <w:t xml:space="preserve"> </w:t>
      </w:r>
      <w:r w:rsidR="00B968C7" w:rsidRPr="00483A3B">
        <w:rPr>
          <w:rFonts w:ascii="Times New Roman" w:hAnsi="Times New Roman"/>
          <w:i/>
        </w:rPr>
        <w:t>Id</w:t>
      </w:r>
      <w:r w:rsidR="00CC2257">
        <w:rPr>
          <w:rFonts w:ascii="Times New Roman" w:hAnsi="Times New Roman"/>
          <w:i/>
        </w:rPr>
        <w:t>.</w:t>
      </w:r>
    </w:p>
  </w:footnote>
  <w:footnote w:id="33">
    <w:p w:rsidR="00AC65AB" w:rsidRPr="00FB7971" w:rsidRDefault="00AC65AB" w:rsidP="00B47C44">
      <w:pPr>
        <w:pStyle w:val="FootnoteText"/>
        <w:rPr>
          <w:rFonts w:ascii="Times New Roman" w:hAnsi="Times New Roman"/>
        </w:rPr>
      </w:pPr>
      <w:r w:rsidRPr="00FB7971">
        <w:rPr>
          <w:rStyle w:val="FootnoteReference"/>
          <w:rFonts w:ascii="Times New Roman" w:hAnsi="Times New Roman"/>
        </w:rPr>
        <w:footnoteRef/>
      </w:r>
      <w:r w:rsidRPr="00FB7971">
        <w:rPr>
          <w:rFonts w:ascii="Times New Roman" w:hAnsi="Times New Roman"/>
        </w:rPr>
        <w:t xml:space="preserve"> </w:t>
      </w:r>
      <w:r w:rsidR="00B968C7" w:rsidRPr="00483A3B">
        <w:rPr>
          <w:rFonts w:ascii="Times New Roman" w:hAnsi="Times New Roman"/>
          <w:i/>
        </w:rPr>
        <w:t>Id</w:t>
      </w:r>
      <w:r w:rsidR="00CC2257">
        <w:rPr>
          <w:rFonts w:ascii="Times New Roman" w:hAnsi="Times New Roman"/>
          <w:i/>
        </w:rPr>
        <w:t>.</w:t>
      </w:r>
    </w:p>
  </w:footnote>
  <w:footnote w:id="34">
    <w:p w:rsidR="00AC65AB" w:rsidRDefault="00AC65AB" w:rsidP="00B47C44">
      <w:pPr>
        <w:pStyle w:val="FootnoteText"/>
      </w:pPr>
      <w:r>
        <w:rPr>
          <w:rStyle w:val="FootnoteReference"/>
        </w:rPr>
        <w:footnoteRef/>
      </w:r>
      <w:r>
        <w:t xml:space="preserve"> </w:t>
      </w:r>
      <w:r w:rsidR="00B968C7" w:rsidRPr="00483A3B">
        <w:rPr>
          <w:rFonts w:ascii="Times New Roman" w:hAnsi="Times New Roman"/>
          <w:i/>
        </w:rPr>
        <w:t>Id</w:t>
      </w:r>
      <w:r w:rsidR="00CC2257">
        <w:rPr>
          <w:rFonts w:ascii="Times New Roman" w:hAnsi="Times New Roman"/>
          <w:i/>
        </w:rPr>
        <w:t>.</w:t>
      </w:r>
    </w:p>
  </w:footnote>
  <w:footnote w:id="35">
    <w:p w:rsidR="00AC65AB" w:rsidRDefault="00AC65AB" w:rsidP="00B47C44">
      <w:pPr>
        <w:pStyle w:val="FootnoteText"/>
      </w:pPr>
      <w:r>
        <w:rPr>
          <w:rStyle w:val="FootnoteReference"/>
        </w:rPr>
        <w:footnoteRef/>
      </w:r>
      <w:r>
        <w:t xml:space="preserve"> </w:t>
      </w:r>
      <w:r w:rsidR="00B968C7" w:rsidRPr="00483A3B">
        <w:rPr>
          <w:rFonts w:ascii="Times New Roman" w:hAnsi="Times New Roman"/>
          <w:i/>
        </w:rPr>
        <w:t>Id</w:t>
      </w:r>
      <w:r w:rsidR="00CC2257">
        <w:rPr>
          <w:rFonts w:ascii="Times New Roman" w:hAnsi="Times New Roman"/>
          <w:i/>
        </w:rPr>
        <w:t>.</w:t>
      </w:r>
    </w:p>
  </w:footnote>
  <w:footnote w:id="36">
    <w:p w:rsidR="00AC65AB" w:rsidRDefault="00AC65AB" w:rsidP="00B47C44">
      <w:pPr>
        <w:pStyle w:val="FootnoteText"/>
      </w:pPr>
      <w:r>
        <w:rPr>
          <w:rStyle w:val="FootnoteReference"/>
        </w:rPr>
        <w:footnoteRef/>
      </w:r>
      <w:r>
        <w:t xml:space="preserve"> </w:t>
      </w:r>
      <w:proofErr w:type="spellStart"/>
      <w:r w:rsidRPr="002A1753">
        <w:rPr>
          <w:rFonts w:ascii="Times New Roman" w:hAnsi="Times New Roman"/>
        </w:rPr>
        <w:t>Kitter</w:t>
      </w:r>
      <w:proofErr w:type="spellEnd"/>
      <w:r w:rsidRPr="002A1753">
        <w:rPr>
          <w:rFonts w:ascii="Times New Roman" w:hAnsi="Times New Roman"/>
        </w:rPr>
        <w:t xml:space="preserve"> Testimony</w:t>
      </w:r>
      <w:r>
        <w:rPr>
          <w:rFonts w:ascii="Times New Roman" w:hAnsi="Times New Roman"/>
        </w:rPr>
        <w:t>; Ex. 19.</w:t>
      </w:r>
    </w:p>
  </w:footnote>
  <w:footnote w:id="37">
    <w:p w:rsidR="00AC65AB" w:rsidRDefault="00AC65AB" w:rsidP="00B47C44">
      <w:pPr>
        <w:pStyle w:val="FootnoteText"/>
      </w:pPr>
      <w:r>
        <w:rPr>
          <w:rStyle w:val="FootnoteReference"/>
        </w:rPr>
        <w:footnoteRef/>
      </w:r>
      <w:r>
        <w:t xml:space="preserve"> </w:t>
      </w:r>
      <w:proofErr w:type="spellStart"/>
      <w:r w:rsidRPr="002A1753">
        <w:rPr>
          <w:rFonts w:ascii="Times New Roman" w:hAnsi="Times New Roman"/>
        </w:rPr>
        <w:t>Kitter</w:t>
      </w:r>
      <w:proofErr w:type="spellEnd"/>
      <w:r w:rsidRPr="002A1753">
        <w:rPr>
          <w:rFonts w:ascii="Times New Roman" w:hAnsi="Times New Roman"/>
        </w:rPr>
        <w:t xml:space="preserve"> Testimony</w:t>
      </w:r>
      <w:r>
        <w:rPr>
          <w:rFonts w:ascii="Times New Roman" w:hAnsi="Times New Roman"/>
        </w:rPr>
        <w:t>.</w:t>
      </w:r>
    </w:p>
  </w:footnote>
  <w:footnote w:id="38">
    <w:p w:rsidR="00AC65AB" w:rsidRDefault="00AC65AB" w:rsidP="00B47C44">
      <w:pPr>
        <w:pStyle w:val="FootnoteText"/>
      </w:pPr>
      <w:r>
        <w:rPr>
          <w:rStyle w:val="FootnoteReference"/>
        </w:rPr>
        <w:footnoteRef/>
      </w:r>
      <w:r>
        <w:t xml:space="preserve"> </w:t>
      </w:r>
      <w:r w:rsidR="00B968C7" w:rsidRPr="00483A3B">
        <w:rPr>
          <w:rFonts w:ascii="Times New Roman" w:hAnsi="Times New Roman"/>
          <w:i/>
        </w:rPr>
        <w:t>Id</w:t>
      </w:r>
      <w:r w:rsidR="00CC2257">
        <w:rPr>
          <w:rFonts w:ascii="Times New Roman" w:hAnsi="Times New Roman"/>
          <w:i/>
        </w:rPr>
        <w:t>.</w:t>
      </w:r>
    </w:p>
  </w:footnote>
  <w:footnote w:id="39">
    <w:p w:rsidR="00AC65AB" w:rsidRDefault="00AC65AB" w:rsidP="00B47C44">
      <w:pPr>
        <w:pStyle w:val="FootnoteText"/>
      </w:pPr>
      <w:r>
        <w:rPr>
          <w:rStyle w:val="FootnoteReference"/>
        </w:rPr>
        <w:footnoteRef/>
      </w:r>
      <w:r>
        <w:t xml:space="preserve"> </w:t>
      </w:r>
      <w:r w:rsidR="00B968C7" w:rsidRPr="00483A3B">
        <w:rPr>
          <w:rFonts w:ascii="Times New Roman" w:hAnsi="Times New Roman"/>
          <w:i/>
        </w:rPr>
        <w:t>Id</w:t>
      </w:r>
      <w:r w:rsidR="00CC2257">
        <w:rPr>
          <w:rFonts w:ascii="Times New Roman" w:hAnsi="Times New Roman"/>
          <w:i/>
        </w:rPr>
        <w:t>.</w:t>
      </w:r>
    </w:p>
  </w:footnote>
  <w:footnote w:id="40">
    <w:p w:rsidR="00AC65AB" w:rsidRPr="00FB7971" w:rsidRDefault="00AC65AB" w:rsidP="00B47C44">
      <w:pPr>
        <w:pStyle w:val="FootnoteText"/>
        <w:rPr>
          <w:rFonts w:ascii="Times New Roman" w:hAnsi="Times New Roman"/>
        </w:rPr>
      </w:pPr>
      <w:r w:rsidRPr="00FB7971">
        <w:rPr>
          <w:rStyle w:val="FootnoteReference"/>
          <w:rFonts w:ascii="Times New Roman" w:hAnsi="Times New Roman"/>
        </w:rPr>
        <w:footnoteRef/>
      </w:r>
      <w:r w:rsidRPr="00FB7971">
        <w:rPr>
          <w:rFonts w:ascii="Times New Roman" w:hAnsi="Times New Roman"/>
        </w:rPr>
        <w:t xml:space="preserve"> </w:t>
      </w:r>
      <w:r w:rsidR="003805D2">
        <w:rPr>
          <w:rFonts w:ascii="Times New Roman" w:hAnsi="Times New Roman"/>
        </w:rPr>
        <w:t xml:space="preserve">Glen </w:t>
      </w:r>
      <w:proofErr w:type="spellStart"/>
      <w:r w:rsidRPr="00FB7971">
        <w:rPr>
          <w:rFonts w:ascii="Times New Roman" w:hAnsi="Times New Roman"/>
        </w:rPr>
        <w:t>Bafia</w:t>
      </w:r>
      <w:proofErr w:type="spellEnd"/>
      <w:r w:rsidRPr="00FB7971">
        <w:rPr>
          <w:rFonts w:ascii="Times New Roman" w:hAnsi="Times New Roman"/>
        </w:rPr>
        <w:t xml:space="preserve"> Testimony. </w:t>
      </w:r>
    </w:p>
  </w:footnote>
  <w:footnote w:id="41">
    <w:p w:rsidR="00AC65AB" w:rsidRPr="00FB7971" w:rsidRDefault="00AC65AB" w:rsidP="00B47C44">
      <w:pPr>
        <w:pStyle w:val="FootnoteText"/>
        <w:rPr>
          <w:rFonts w:ascii="Times New Roman" w:hAnsi="Times New Roman"/>
        </w:rPr>
      </w:pPr>
      <w:r w:rsidRPr="00FB7971">
        <w:rPr>
          <w:rStyle w:val="FootnoteReference"/>
          <w:rFonts w:ascii="Times New Roman" w:hAnsi="Times New Roman"/>
        </w:rPr>
        <w:footnoteRef/>
      </w:r>
      <w:r w:rsidRPr="00FB7971">
        <w:rPr>
          <w:rFonts w:ascii="Times New Roman" w:hAnsi="Times New Roman"/>
        </w:rPr>
        <w:t xml:space="preserve"> </w:t>
      </w:r>
      <w:r w:rsidR="00CC2257" w:rsidRPr="00483A3B">
        <w:rPr>
          <w:rFonts w:ascii="Times New Roman" w:hAnsi="Times New Roman"/>
          <w:i/>
        </w:rPr>
        <w:t>Id</w:t>
      </w:r>
      <w:r w:rsidR="00CC2257">
        <w:rPr>
          <w:rFonts w:ascii="Times New Roman" w:hAnsi="Times New Roman"/>
          <w:i/>
        </w:rPr>
        <w:t>.</w:t>
      </w:r>
    </w:p>
  </w:footnote>
  <w:footnote w:id="42">
    <w:p w:rsidR="00AC65AB" w:rsidRPr="002628FD" w:rsidRDefault="00AC65AB" w:rsidP="00B47C44">
      <w:pPr>
        <w:pStyle w:val="FootnoteText"/>
        <w:rPr>
          <w:rFonts w:ascii="Times New Roman" w:hAnsi="Times New Roman"/>
        </w:rPr>
      </w:pPr>
      <w:r w:rsidRPr="002628FD">
        <w:rPr>
          <w:rStyle w:val="FootnoteReference"/>
          <w:rFonts w:ascii="Times New Roman" w:hAnsi="Times New Roman"/>
        </w:rPr>
        <w:footnoteRef/>
      </w:r>
      <w:r w:rsidRPr="002628FD">
        <w:rPr>
          <w:rFonts w:ascii="Times New Roman" w:hAnsi="Times New Roman"/>
        </w:rPr>
        <w:t xml:space="preserve"> </w:t>
      </w:r>
      <w:r w:rsidR="00CC2257" w:rsidRPr="00483A3B">
        <w:rPr>
          <w:rFonts w:ascii="Times New Roman" w:hAnsi="Times New Roman"/>
          <w:i/>
        </w:rPr>
        <w:t>Id</w:t>
      </w:r>
      <w:r w:rsidRPr="002628FD">
        <w:rPr>
          <w:rFonts w:ascii="Times New Roman" w:hAnsi="Times New Roman"/>
        </w:rPr>
        <w:t>.</w:t>
      </w:r>
    </w:p>
  </w:footnote>
  <w:footnote w:id="43">
    <w:p w:rsidR="00AC65AB" w:rsidRDefault="00AC65AB" w:rsidP="00B47C44">
      <w:pPr>
        <w:pStyle w:val="FootnoteText"/>
      </w:pPr>
      <w:r>
        <w:rPr>
          <w:rStyle w:val="FootnoteReference"/>
        </w:rPr>
        <w:footnoteRef/>
      </w:r>
      <w:r>
        <w:t xml:space="preserve"> </w:t>
      </w:r>
      <w:proofErr w:type="spellStart"/>
      <w:r w:rsidRPr="002A1753">
        <w:rPr>
          <w:rFonts w:ascii="Times New Roman" w:hAnsi="Times New Roman"/>
        </w:rPr>
        <w:t>Kitter</w:t>
      </w:r>
      <w:proofErr w:type="spellEnd"/>
      <w:r w:rsidRPr="002A1753">
        <w:rPr>
          <w:rFonts w:ascii="Times New Roman" w:hAnsi="Times New Roman"/>
        </w:rPr>
        <w:t xml:space="preserve"> Testimony</w:t>
      </w:r>
      <w:r>
        <w:rPr>
          <w:rFonts w:ascii="Times New Roman" w:hAnsi="Times New Roman"/>
        </w:rPr>
        <w:t>.</w:t>
      </w:r>
    </w:p>
  </w:footnote>
  <w:footnote w:id="44">
    <w:p w:rsidR="00AC65AB" w:rsidRDefault="00AC65AB" w:rsidP="00B47C44">
      <w:pPr>
        <w:pStyle w:val="FootnoteText"/>
      </w:pPr>
      <w:r>
        <w:rPr>
          <w:rStyle w:val="FootnoteReference"/>
        </w:rPr>
        <w:footnoteRef/>
      </w:r>
      <w:r>
        <w:t xml:space="preserve"> </w:t>
      </w:r>
      <w:r w:rsidR="00CC2257" w:rsidRPr="00483A3B">
        <w:rPr>
          <w:rFonts w:ascii="Times New Roman" w:hAnsi="Times New Roman"/>
          <w:i/>
        </w:rPr>
        <w:t>Id</w:t>
      </w:r>
      <w:r w:rsidR="00CC2257" w:rsidRPr="002628FD">
        <w:rPr>
          <w:rFonts w:ascii="Times New Roman" w:hAnsi="Times New Roman"/>
        </w:rPr>
        <w:t>.</w:t>
      </w:r>
    </w:p>
  </w:footnote>
  <w:footnote w:id="45">
    <w:p w:rsidR="00AC65AB" w:rsidRDefault="00AC65AB" w:rsidP="00B47C44">
      <w:pPr>
        <w:pStyle w:val="FootnoteText"/>
      </w:pPr>
      <w:r>
        <w:rPr>
          <w:rStyle w:val="FootnoteReference"/>
        </w:rPr>
        <w:footnoteRef/>
      </w:r>
      <w:r>
        <w:t xml:space="preserve"> </w:t>
      </w:r>
      <w:r w:rsidR="00CC2257" w:rsidRPr="00483A3B">
        <w:rPr>
          <w:rFonts w:ascii="Times New Roman" w:hAnsi="Times New Roman"/>
          <w:i/>
        </w:rPr>
        <w:t>Id</w:t>
      </w:r>
      <w:r w:rsidR="00CC2257" w:rsidRPr="002628FD">
        <w:rPr>
          <w:rFonts w:ascii="Times New Roman" w:hAnsi="Times New Roman"/>
        </w:rPr>
        <w:t>.</w:t>
      </w:r>
    </w:p>
  </w:footnote>
  <w:footnote w:id="46">
    <w:p w:rsidR="00AC65AB" w:rsidRDefault="00AC65AB" w:rsidP="00B47C44">
      <w:pPr>
        <w:pStyle w:val="FootnoteText"/>
      </w:pPr>
      <w:r>
        <w:rPr>
          <w:rStyle w:val="FootnoteReference"/>
        </w:rPr>
        <w:footnoteRef/>
      </w:r>
      <w:r>
        <w:t xml:space="preserve"> </w:t>
      </w:r>
      <w:r w:rsidR="00CC2257" w:rsidRPr="00483A3B">
        <w:rPr>
          <w:rFonts w:ascii="Times New Roman" w:hAnsi="Times New Roman"/>
          <w:i/>
        </w:rPr>
        <w:t>Id</w:t>
      </w:r>
      <w:r w:rsidR="00CC2257" w:rsidRPr="002628FD">
        <w:rPr>
          <w:rFonts w:ascii="Times New Roman" w:hAnsi="Times New Roman"/>
        </w:rPr>
        <w:t>.</w:t>
      </w:r>
    </w:p>
  </w:footnote>
  <w:footnote w:id="47">
    <w:p w:rsidR="00AC65AB" w:rsidRDefault="00AC65AB" w:rsidP="00B47C44">
      <w:pPr>
        <w:pStyle w:val="FootnoteText"/>
      </w:pPr>
      <w:r>
        <w:rPr>
          <w:rStyle w:val="FootnoteReference"/>
        </w:rPr>
        <w:footnoteRef/>
      </w:r>
      <w:r>
        <w:t xml:space="preserve"> </w:t>
      </w:r>
      <w:r w:rsidR="00CC2257" w:rsidRPr="00483A3B">
        <w:rPr>
          <w:rFonts w:ascii="Times New Roman" w:hAnsi="Times New Roman"/>
          <w:i/>
        </w:rPr>
        <w:t>Id</w:t>
      </w:r>
      <w:r w:rsidR="00CC2257" w:rsidRPr="002628FD">
        <w:rPr>
          <w:rFonts w:ascii="Times New Roman" w:hAnsi="Times New Roman"/>
        </w:rPr>
        <w:t>.</w:t>
      </w:r>
    </w:p>
  </w:footnote>
  <w:footnote w:id="48">
    <w:p w:rsidR="00AC65AB" w:rsidRPr="00184DD2" w:rsidRDefault="00AC65AB" w:rsidP="00B47C44">
      <w:pPr>
        <w:pStyle w:val="FootnoteText"/>
        <w:rPr>
          <w:rFonts w:ascii="Times New Roman" w:hAnsi="Times New Roman"/>
        </w:rPr>
      </w:pPr>
      <w:r w:rsidRPr="00184DD2">
        <w:rPr>
          <w:rStyle w:val="FootnoteReference"/>
          <w:rFonts w:ascii="Times New Roman" w:hAnsi="Times New Roman"/>
        </w:rPr>
        <w:footnoteRef/>
      </w:r>
      <w:r w:rsidRPr="00184DD2">
        <w:rPr>
          <w:rFonts w:ascii="Times New Roman" w:hAnsi="Times New Roman"/>
        </w:rPr>
        <w:t xml:space="preserve"> </w:t>
      </w:r>
      <w:proofErr w:type="spellStart"/>
      <w:r w:rsidRPr="00184DD2">
        <w:rPr>
          <w:rFonts w:ascii="Times New Roman" w:hAnsi="Times New Roman"/>
        </w:rPr>
        <w:t>Theriault</w:t>
      </w:r>
      <w:proofErr w:type="spellEnd"/>
      <w:r w:rsidRPr="00184DD2">
        <w:rPr>
          <w:rFonts w:ascii="Times New Roman" w:hAnsi="Times New Roman"/>
        </w:rPr>
        <w:t xml:space="preserve"> Testimony.</w:t>
      </w:r>
    </w:p>
  </w:footnote>
  <w:footnote w:id="49">
    <w:p w:rsidR="00AC65AB" w:rsidRPr="00F32C93" w:rsidRDefault="00AC65AB" w:rsidP="00B47C44">
      <w:pPr>
        <w:pStyle w:val="FootnoteText"/>
        <w:rPr>
          <w:rFonts w:ascii="Times New Roman" w:hAnsi="Times New Roman"/>
        </w:rPr>
      </w:pPr>
      <w:r w:rsidRPr="00F32C93">
        <w:rPr>
          <w:rStyle w:val="FootnoteReference"/>
          <w:rFonts w:ascii="Times New Roman" w:hAnsi="Times New Roman"/>
        </w:rPr>
        <w:footnoteRef/>
      </w:r>
      <w:r w:rsidRPr="00F32C93">
        <w:rPr>
          <w:rFonts w:ascii="Times New Roman" w:hAnsi="Times New Roman"/>
        </w:rPr>
        <w:t xml:space="preserve"> </w:t>
      </w:r>
      <w:proofErr w:type="spellStart"/>
      <w:r w:rsidRPr="00F32C93">
        <w:rPr>
          <w:rFonts w:ascii="Times New Roman" w:hAnsi="Times New Roman"/>
        </w:rPr>
        <w:t>Theriault</w:t>
      </w:r>
      <w:proofErr w:type="spellEnd"/>
      <w:r w:rsidRPr="00F32C93">
        <w:rPr>
          <w:rFonts w:ascii="Times New Roman" w:hAnsi="Times New Roman"/>
        </w:rPr>
        <w:t xml:space="preserve"> Testimony; </w:t>
      </w:r>
      <w:proofErr w:type="spellStart"/>
      <w:r w:rsidRPr="00F32C93">
        <w:rPr>
          <w:rFonts w:ascii="Times New Roman" w:hAnsi="Times New Roman"/>
        </w:rPr>
        <w:t>Bafia</w:t>
      </w:r>
      <w:proofErr w:type="spellEnd"/>
      <w:r w:rsidRPr="00F32C93">
        <w:rPr>
          <w:rFonts w:ascii="Times New Roman" w:hAnsi="Times New Roman"/>
        </w:rPr>
        <w:t xml:space="preserve"> Testimony. </w:t>
      </w:r>
    </w:p>
  </w:footnote>
  <w:footnote w:id="50">
    <w:p w:rsidR="00AC65AB" w:rsidRDefault="00AC65AB" w:rsidP="00B47C44">
      <w:pPr>
        <w:pStyle w:val="FootnoteText"/>
      </w:pPr>
      <w:r>
        <w:rPr>
          <w:rStyle w:val="FootnoteReference"/>
        </w:rPr>
        <w:footnoteRef/>
      </w:r>
      <w:r>
        <w:t xml:space="preserve"> </w:t>
      </w:r>
      <w:proofErr w:type="spellStart"/>
      <w:r w:rsidRPr="00F32C93">
        <w:rPr>
          <w:rFonts w:ascii="Times New Roman" w:hAnsi="Times New Roman"/>
        </w:rPr>
        <w:t>Theriault</w:t>
      </w:r>
      <w:proofErr w:type="spellEnd"/>
      <w:r w:rsidRPr="00F32C93">
        <w:rPr>
          <w:rFonts w:ascii="Times New Roman" w:hAnsi="Times New Roman"/>
        </w:rPr>
        <w:t xml:space="preserve"> Testimony; </w:t>
      </w:r>
      <w:proofErr w:type="spellStart"/>
      <w:r w:rsidRPr="00F32C93">
        <w:rPr>
          <w:rFonts w:ascii="Times New Roman" w:hAnsi="Times New Roman"/>
        </w:rPr>
        <w:t>Bafia</w:t>
      </w:r>
      <w:proofErr w:type="spellEnd"/>
      <w:r w:rsidRPr="00F32C93">
        <w:rPr>
          <w:rFonts w:ascii="Times New Roman" w:hAnsi="Times New Roman"/>
        </w:rPr>
        <w:t xml:space="preserve"> Testimony.</w:t>
      </w:r>
    </w:p>
  </w:footnote>
  <w:footnote w:id="51">
    <w:p w:rsidR="00AC65AB" w:rsidRPr="00E00209" w:rsidRDefault="00AC65AB" w:rsidP="00B47C44">
      <w:pPr>
        <w:pStyle w:val="FootnoteText"/>
        <w:rPr>
          <w:rFonts w:ascii="Times New Roman" w:hAnsi="Times New Roman" w:cs="Times New Roman"/>
        </w:rPr>
      </w:pPr>
      <w:r w:rsidRPr="00E00209">
        <w:rPr>
          <w:rStyle w:val="FootnoteReference"/>
          <w:rFonts w:ascii="Times New Roman" w:hAnsi="Times New Roman" w:cs="Times New Roman"/>
        </w:rPr>
        <w:footnoteRef/>
      </w:r>
      <w:r w:rsidRPr="00E00209">
        <w:rPr>
          <w:rFonts w:ascii="Times New Roman" w:hAnsi="Times New Roman" w:cs="Times New Roman"/>
        </w:rPr>
        <w:t xml:space="preserve"> Karen Salisbury Testimony. </w:t>
      </w:r>
    </w:p>
  </w:footnote>
  <w:footnote w:id="52">
    <w:p w:rsidR="00AC65AB" w:rsidRDefault="00AC65AB" w:rsidP="00B47C44">
      <w:pPr>
        <w:pStyle w:val="FootnoteText"/>
      </w:pPr>
      <w:r>
        <w:rPr>
          <w:rStyle w:val="FootnoteReference"/>
        </w:rPr>
        <w:footnoteRef/>
      </w:r>
      <w:r>
        <w:t xml:space="preserve"> </w:t>
      </w:r>
      <w:proofErr w:type="spellStart"/>
      <w:r w:rsidRPr="004D5134">
        <w:rPr>
          <w:rFonts w:ascii="Times New Roman" w:hAnsi="Times New Roman"/>
        </w:rPr>
        <w:t>Kitter</w:t>
      </w:r>
      <w:proofErr w:type="spellEnd"/>
      <w:r w:rsidRPr="004D5134">
        <w:rPr>
          <w:rFonts w:ascii="Times New Roman" w:hAnsi="Times New Roman"/>
        </w:rPr>
        <w:t xml:space="preserve"> Testimony: Ex. 11.</w:t>
      </w:r>
      <w:r>
        <w:t xml:space="preserve"> </w:t>
      </w:r>
    </w:p>
  </w:footnote>
  <w:footnote w:id="53">
    <w:p w:rsidR="00AC65AB" w:rsidRDefault="00AC65AB" w:rsidP="00B47C44">
      <w:pPr>
        <w:pStyle w:val="FootnoteText"/>
      </w:pPr>
      <w:r>
        <w:rPr>
          <w:rStyle w:val="FootnoteReference"/>
        </w:rPr>
        <w:footnoteRef/>
      </w:r>
      <w:r>
        <w:t xml:space="preserve"> </w:t>
      </w:r>
      <w:proofErr w:type="spellStart"/>
      <w:r>
        <w:rPr>
          <w:rFonts w:ascii="Times New Roman" w:hAnsi="Times New Roman"/>
        </w:rPr>
        <w:t>Kitter</w:t>
      </w:r>
      <w:proofErr w:type="spellEnd"/>
      <w:r>
        <w:rPr>
          <w:rFonts w:ascii="Times New Roman" w:hAnsi="Times New Roman"/>
        </w:rPr>
        <w:t xml:space="preserve"> Testimony: Ex. 12</w:t>
      </w:r>
      <w:r w:rsidRPr="004D5134">
        <w:rPr>
          <w:rFonts w:ascii="Times New Roman" w:hAnsi="Times New Roman"/>
        </w:rPr>
        <w:t>.</w:t>
      </w:r>
    </w:p>
  </w:footnote>
  <w:footnote w:id="54">
    <w:p w:rsidR="00AC65AB" w:rsidRDefault="00AC65AB" w:rsidP="00B47C44">
      <w:pPr>
        <w:pStyle w:val="FootnoteText"/>
      </w:pPr>
      <w:r>
        <w:rPr>
          <w:rStyle w:val="FootnoteReference"/>
        </w:rPr>
        <w:footnoteRef/>
      </w:r>
      <w:r>
        <w:t xml:space="preserve"> </w:t>
      </w:r>
      <w:proofErr w:type="spellStart"/>
      <w:r>
        <w:rPr>
          <w:rFonts w:ascii="Times New Roman" w:hAnsi="Times New Roman"/>
        </w:rPr>
        <w:t>Kitter</w:t>
      </w:r>
      <w:proofErr w:type="spellEnd"/>
      <w:r>
        <w:rPr>
          <w:rFonts w:ascii="Times New Roman" w:hAnsi="Times New Roman"/>
        </w:rPr>
        <w:t xml:space="preserve"> Testimony: Ex. 13</w:t>
      </w:r>
      <w:r w:rsidRPr="004D5134">
        <w:rPr>
          <w:rFonts w:ascii="Times New Roman" w:hAnsi="Times New Roman"/>
        </w:rPr>
        <w:t>.</w:t>
      </w:r>
    </w:p>
  </w:footnote>
  <w:footnote w:id="55">
    <w:p w:rsidR="00AC65AB" w:rsidRDefault="00AC65AB" w:rsidP="00B47C44">
      <w:pPr>
        <w:pStyle w:val="FootnoteText"/>
      </w:pPr>
      <w:r>
        <w:rPr>
          <w:rStyle w:val="FootnoteReference"/>
        </w:rPr>
        <w:footnoteRef/>
      </w:r>
      <w:r>
        <w:t xml:space="preserve"> </w:t>
      </w:r>
      <w:proofErr w:type="spellStart"/>
      <w:r>
        <w:rPr>
          <w:rFonts w:ascii="Times New Roman" w:hAnsi="Times New Roman"/>
        </w:rPr>
        <w:t>Kitter</w:t>
      </w:r>
      <w:proofErr w:type="spellEnd"/>
      <w:r>
        <w:rPr>
          <w:rFonts w:ascii="Times New Roman" w:hAnsi="Times New Roman"/>
        </w:rPr>
        <w:t xml:space="preserve"> Testimony: Ex. 14</w:t>
      </w:r>
      <w:r w:rsidRPr="004D5134">
        <w:rPr>
          <w:rFonts w:ascii="Times New Roman" w:hAnsi="Times New Roman"/>
        </w:rPr>
        <w:t>.</w:t>
      </w:r>
    </w:p>
  </w:footnote>
  <w:footnote w:id="56">
    <w:p w:rsidR="00AC65AB" w:rsidRDefault="00AC65AB" w:rsidP="00B47C44">
      <w:pPr>
        <w:pStyle w:val="FootnoteText"/>
      </w:pPr>
      <w:r>
        <w:rPr>
          <w:rStyle w:val="FootnoteReference"/>
        </w:rPr>
        <w:footnoteRef/>
      </w:r>
      <w:r>
        <w:t xml:space="preserve"> </w:t>
      </w:r>
      <w:r w:rsidRPr="00D50489">
        <w:rPr>
          <w:rFonts w:ascii="Times New Roman" w:hAnsi="Times New Roman"/>
        </w:rPr>
        <w:t>Ex. 16.</w:t>
      </w:r>
      <w:r>
        <w:t xml:space="preserve"> </w:t>
      </w:r>
    </w:p>
  </w:footnote>
  <w:footnote w:id="57">
    <w:p w:rsidR="00AC65AB" w:rsidRDefault="00AC65AB" w:rsidP="00B47C44">
      <w:pPr>
        <w:pStyle w:val="FootnoteText"/>
      </w:pPr>
      <w:r>
        <w:rPr>
          <w:rStyle w:val="FootnoteReference"/>
        </w:rPr>
        <w:footnoteRef/>
      </w:r>
      <w:r>
        <w:t xml:space="preserve"> </w:t>
      </w:r>
      <w:proofErr w:type="spellStart"/>
      <w:r w:rsidRPr="00765F8C">
        <w:rPr>
          <w:rFonts w:ascii="Times New Roman" w:hAnsi="Times New Roman"/>
        </w:rPr>
        <w:t>Kitter</w:t>
      </w:r>
      <w:proofErr w:type="spellEnd"/>
      <w:r w:rsidRPr="00765F8C">
        <w:rPr>
          <w:rFonts w:ascii="Times New Roman" w:hAnsi="Times New Roman"/>
        </w:rPr>
        <w:t xml:space="preserve"> Testimony; Ex. 16.</w:t>
      </w:r>
      <w:r>
        <w:t xml:space="preserve"> </w:t>
      </w:r>
    </w:p>
  </w:footnote>
  <w:footnote w:id="58">
    <w:p w:rsidR="00AC65AB" w:rsidRDefault="00AC65AB" w:rsidP="00B47C44">
      <w:pPr>
        <w:pStyle w:val="FootnoteText"/>
      </w:pPr>
      <w:r>
        <w:rPr>
          <w:rStyle w:val="FootnoteReference"/>
        </w:rPr>
        <w:footnoteRef/>
      </w:r>
      <w:r>
        <w:t xml:space="preserve"> </w:t>
      </w:r>
      <w:proofErr w:type="spellStart"/>
      <w:r w:rsidRPr="00DA39E5">
        <w:rPr>
          <w:rFonts w:ascii="Times New Roman" w:hAnsi="Times New Roman"/>
        </w:rPr>
        <w:t>Kitter</w:t>
      </w:r>
      <w:proofErr w:type="spellEnd"/>
      <w:r w:rsidRPr="00DA39E5">
        <w:rPr>
          <w:rFonts w:ascii="Times New Roman" w:hAnsi="Times New Roman"/>
        </w:rPr>
        <w:t xml:space="preserve"> Testimony.</w:t>
      </w:r>
      <w:r>
        <w:t xml:space="preserve"> </w:t>
      </w:r>
    </w:p>
  </w:footnote>
  <w:footnote w:id="59">
    <w:p w:rsidR="00AC65AB" w:rsidRDefault="00AC65AB" w:rsidP="00B47C44">
      <w:pPr>
        <w:pStyle w:val="FootnoteText"/>
      </w:pPr>
      <w:r>
        <w:rPr>
          <w:rStyle w:val="FootnoteReference"/>
        </w:rPr>
        <w:footnoteRef/>
      </w:r>
      <w:r>
        <w:t xml:space="preserve"> </w:t>
      </w:r>
      <w:r w:rsidR="000E3D3E" w:rsidRPr="00483A3B">
        <w:rPr>
          <w:rFonts w:ascii="Times New Roman" w:hAnsi="Times New Roman"/>
          <w:i/>
        </w:rPr>
        <w:t>Id</w:t>
      </w:r>
      <w:r w:rsidR="000E3D3E" w:rsidRPr="002628FD">
        <w:rPr>
          <w:rFonts w:ascii="Times New Roman" w:hAnsi="Times New Roman"/>
        </w:rPr>
        <w:t>.</w:t>
      </w:r>
    </w:p>
  </w:footnote>
  <w:footnote w:id="60">
    <w:p w:rsidR="000E3D3E" w:rsidRDefault="000E3D3E">
      <w:pPr>
        <w:pStyle w:val="FootnoteText"/>
      </w:pPr>
      <w:r>
        <w:rPr>
          <w:rStyle w:val="FootnoteReference"/>
        </w:rPr>
        <w:footnoteRef/>
      </w:r>
      <w:r>
        <w:t xml:space="preserve"> </w:t>
      </w:r>
      <w:r w:rsidRPr="00483A3B">
        <w:rPr>
          <w:rFonts w:ascii="Times New Roman" w:hAnsi="Times New Roman"/>
          <w:i/>
        </w:rPr>
        <w:t>Id</w:t>
      </w:r>
      <w:r w:rsidRPr="002628FD">
        <w:rPr>
          <w:rFonts w:ascii="Times New Roman" w:hAnsi="Times New Roman"/>
        </w:rPr>
        <w:t>.</w:t>
      </w:r>
    </w:p>
  </w:footnote>
  <w:footnote w:id="61">
    <w:p w:rsidR="00AC65AB" w:rsidRDefault="00AC65AB" w:rsidP="00B47C44">
      <w:pPr>
        <w:pStyle w:val="FootnoteText"/>
      </w:pPr>
      <w:r>
        <w:rPr>
          <w:rStyle w:val="FootnoteReference"/>
        </w:rPr>
        <w:footnoteRef/>
      </w:r>
      <w:r>
        <w:t xml:space="preserve"> </w:t>
      </w:r>
      <w:r w:rsidR="000E3D3E" w:rsidRPr="00483A3B">
        <w:rPr>
          <w:rFonts w:ascii="Times New Roman" w:hAnsi="Times New Roman"/>
          <w:i/>
        </w:rPr>
        <w:t>Id</w:t>
      </w:r>
      <w:r w:rsidR="000E3D3E" w:rsidRPr="002628FD">
        <w:rPr>
          <w:rFonts w:ascii="Times New Roman" w:hAnsi="Times New Roman"/>
        </w:rPr>
        <w:t>.</w:t>
      </w:r>
    </w:p>
  </w:footnote>
  <w:footnote w:id="62">
    <w:p w:rsidR="00AC65AB" w:rsidRDefault="00AC65AB" w:rsidP="00B47C44">
      <w:pPr>
        <w:pStyle w:val="FootnoteText"/>
      </w:pPr>
      <w:r>
        <w:rPr>
          <w:rStyle w:val="FootnoteReference"/>
        </w:rPr>
        <w:footnoteRef/>
      </w:r>
      <w:r>
        <w:t xml:space="preserve"> </w:t>
      </w:r>
      <w:proofErr w:type="spellStart"/>
      <w:r w:rsidRPr="002A6983">
        <w:rPr>
          <w:rFonts w:ascii="Times New Roman" w:hAnsi="Times New Roman"/>
        </w:rPr>
        <w:t>Theriault</w:t>
      </w:r>
      <w:proofErr w:type="spellEnd"/>
      <w:r w:rsidRPr="002A6983">
        <w:rPr>
          <w:rFonts w:ascii="Times New Roman" w:hAnsi="Times New Roman"/>
        </w:rPr>
        <w:t xml:space="preserve"> Testimony.</w:t>
      </w:r>
      <w:r>
        <w:t xml:space="preserve"> </w:t>
      </w:r>
    </w:p>
  </w:footnote>
  <w:footnote w:id="63">
    <w:p w:rsidR="00AC65AB" w:rsidRDefault="00AC65AB" w:rsidP="00B47C44">
      <w:pPr>
        <w:pStyle w:val="FootnoteText"/>
      </w:pPr>
      <w:r>
        <w:rPr>
          <w:rStyle w:val="FootnoteReference"/>
        </w:rPr>
        <w:footnoteRef/>
      </w:r>
      <w:r>
        <w:t xml:space="preserve"> </w:t>
      </w:r>
      <w:r w:rsidR="000E3D3E" w:rsidRPr="00483A3B">
        <w:rPr>
          <w:rFonts w:ascii="Times New Roman" w:hAnsi="Times New Roman"/>
          <w:i/>
        </w:rPr>
        <w:t>Id</w:t>
      </w:r>
      <w:r w:rsidR="000E3D3E" w:rsidRPr="002628FD">
        <w:rPr>
          <w:rFonts w:ascii="Times New Roman" w:hAnsi="Times New Roman"/>
        </w:rPr>
        <w:t>.</w:t>
      </w:r>
    </w:p>
  </w:footnote>
  <w:footnote w:id="64">
    <w:p w:rsidR="00AC65AB" w:rsidRDefault="00AC65AB" w:rsidP="00B47C44">
      <w:pPr>
        <w:pStyle w:val="FootnoteText"/>
      </w:pPr>
      <w:r>
        <w:rPr>
          <w:rStyle w:val="FootnoteReference"/>
        </w:rPr>
        <w:footnoteRef/>
      </w:r>
      <w:r>
        <w:t xml:space="preserve"> </w:t>
      </w:r>
      <w:proofErr w:type="spellStart"/>
      <w:r w:rsidRPr="002A6983">
        <w:rPr>
          <w:rFonts w:ascii="Times New Roman" w:hAnsi="Times New Roman"/>
        </w:rPr>
        <w:t>Theriault</w:t>
      </w:r>
      <w:proofErr w:type="spellEnd"/>
      <w:r w:rsidRPr="002A6983">
        <w:rPr>
          <w:rFonts w:ascii="Times New Roman" w:hAnsi="Times New Roman"/>
        </w:rPr>
        <w:t xml:space="preserve"> Testimony</w:t>
      </w:r>
      <w:r>
        <w:rPr>
          <w:rFonts w:ascii="Times New Roman" w:hAnsi="Times New Roman"/>
        </w:rPr>
        <w:t>; Salisbury Testimony</w:t>
      </w:r>
      <w:r w:rsidRPr="002A6983">
        <w:rPr>
          <w:rFonts w:ascii="Times New Roman" w:hAnsi="Times New Roman"/>
        </w:rPr>
        <w:t>.</w:t>
      </w:r>
    </w:p>
  </w:footnote>
  <w:footnote w:id="65">
    <w:p w:rsidR="00AC65AB" w:rsidRPr="00315FFE" w:rsidRDefault="00AC65AB">
      <w:pPr>
        <w:pStyle w:val="FootnoteText"/>
        <w:rPr>
          <w:rFonts w:ascii="Times New Roman" w:hAnsi="Times New Roman" w:cs="Times New Roman"/>
        </w:rPr>
      </w:pPr>
      <w:r w:rsidRPr="00315FFE">
        <w:rPr>
          <w:rStyle w:val="FootnoteReference"/>
          <w:rFonts w:ascii="Times New Roman" w:hAnsi="Times New Roman" w:cs="Times New Roman"/>
        </w:rPr>
        <w:footnoteRef/>
      </w:r>
      <w:r w:rsidR="00060850">
        <w:rPr>
          <w:rFonts w:ascii="Times New Roman" w:hAnsi="Times New Roman" w:cs="Times New Roman"/>
        </w:rPr>
        <w:t xml:space="preserve"> </w:t>
      </w:r>
      <w:r w:rsidRPr="00315FFE">
        <w:rPr>
          <w:rFonts w:ascii="Times New Roman" w:hAnsi="Times New Roman" w:cs="Times New Roman"/>
        </w:rPr>
        <w:t xml:space="preserve">Salisbury Testimony. </w:t>
      </w:r>
    </w:p>
  </w:footnote>
  <w:footnote w:id="66">
    <w:p w:rsidR="00AC65AB" w:rsidRPr="00315FFE" w:rsidRDefault="00AC65AB">
      <w:pPr>
        <w:pStyle w:val="FootnoteText"/>
        <w:rPr>
          <w:rFonts w:ascii="Times New Roman" w:hAnsi="Times New Roman" w:cs="Times New Roman"/>
        </w:rPr>
      </w:pPr>
      <w:r w:rsidRPr="00315FFE">
        <w:rPr>
          <w:rStyle w:val="FootnoteReference"/>
          <w:rFonts w:ascii="Times New Roman" w:hAnsi="Times New Roman" w:cs="Times New Roman"/>
        </w:rPr>
        <w:footnoteRef/>
      </w:r>
      <w:r w:rsidRPr="00315FFE">
        <w:rPr>
          <w:rFonts w:ascii="Times New Roman" w:hAnsi="Times New Roman" w:cs="Times New Roman"/>
        </w:rPr>
        <w:t xml:space="preserve"> </w:t>
      </w:r>
      <w:r w:rsidRPr="00315FFE">
        <w:rPr>
          <w:rFonts w:ascii="Times New Roman" w:hAnsi="Times New Roman" w:cs="Times New Roman"/>
          <w:i/>
        </w:rPr>
        <w:t>Id</w:t>
      </w:r>
      <w:r w:rsidRPr="00315FFE">
        <w:rPr>
          <w:rFonts w:ascii="Times New Roman" w:hAnsi="Times New Roman" w:cs="Times New Roman"/>
        </w:rPr>
        <w:t xml:space="preserve">. </w:t>
      </w:r>
    </w:p>
  </w:footnote>
  <w:footnote w:id="67">
    <w:p w:rsidR="00AC65AB" w:rsidRDefault="00AC65AB" w:rsidP="00B47C44">
      <w:pPr>
        <w:pStyle w:val="FootnoteText"/>
      </w:pPr>
      <w:r>
        <w:rPr>
          <w:rStyle w:val="FootnoteReference"/>
        </w:rPr>
        <w:footnoteRef/>
      </w:r>
      <w:r>
        <w:t xml:space="preserve"> </w:t>
      </w:r>
      <w:proofErr w:type="spellStart"/>
      <w:r w:rsidRPr="002A6983">
        <w:rPr>
          <w:rFonts w:ascii="Times New Roman" w:hAnsi="Times New Roman"/>
        </w:rPr>
        <w:t>Theriault</w:t>
      </w:r>
      <w:proofErr w:type="spellEnd"/>
      <w:r w:rsidRPr="002A6983">
        <w:rPr>
          <w:rFonts w:ascii="Times New Roman" w:hAnsi="Times New Roman"/>
        </w:rPr>
        <w:t xml:space="preserve"> Testimony</w:t>
      </w:r>
      <w:r>
        <w:rPr>
          <w:rFonts w:ascii="Times New Roman" w:hAnsi="Times New Roman"/>
        </w:rPr>
        <w:t>; Salisbury Testimony</w:t>
      </w:r>
      <w:r w:rsidRPr="002A6983">
        <w:rPr>
          <w:rFonts w:ascii="Times New Roman" w:hAnsi="Times New Roman"/>
        </w:rPr>
        <w:t>.</w:t>
      </w:r>
    </w:p>
  </w:footnote>
  <w:footnote w:id="68">
    <w:p w:rsidR="00AC65AB" w:rsidRDefault="00AC65AB" w:rsidP="00B47C44">
      <w:pPr>
        <w:pStyle w:val="FootnoteText"/>
      </w:pPr>
      <w:r>
        <w:rPr>
          <w:rStyle w:val="FootnoteReference"/>
        </w:rPr>
        <w:footnoteRef/>
      </w:r>
      <w:r>
        <w:t xml:space="preserve"> </w:t>
      </w:r>
      <w:proofErr w:type="spellStart"/>
      <w:r w:rsidRPr="002A6983">
        <w:rPr>
          <w:rFonts w:ascii="Times New Roman" w:hAnsi="Times New Roman"/>
        </w:rPr>
        <w:t>Theriault</w:t>
      </w:r>
      <w:proofErr w:type="spellEnd"/>
      <w:r w:rsidRPr="002A6983">
        <w:rPr>
          <w:rFonts w:ascii="Times New Roman" w:hAnsi="Times New Roman"/>
        </w:rPr>
        <w:t xml:space="preserve"> Testimony.</w:t>
      </w:r>
    </w:p>
  </w:footnote>
  <w:footnote w:id="69">
    <w:p w:rsidR="00AC65AB" w:rsidRDefault="00AC65AB" w:rsidP="00B47C44">
      <w:pPr>
        <w:pStyle w:val="FootnoteText"/>
      </w:pPr>
      <w:r>
        <w:rPr>
          <w:rStyle w:val="FootnoteReference"/>
        </w:rPr>
        <w:footnoteRef/>
      </w:r>
      <w:r>
        <w:t xml:space="preserve"> </w:t>
      </w:r>
      <w:r w:rsidR="008365E0" w:rsidRPr="00483A3B">
        <w:rPr>
          <w:rFonts w:ascii="Times New Roman" w:hAnsi="Times New Roman"/>
          <w:i/>
        </w:rPr>
        <w:t>Id</w:t>
      </w:r>
      <w:r w:rsidR="008365E0" w:rsidRPr="002628FD">
        <w:rPr>
          <w:rFonts w:ascii="Times New Roman" w:hAnsi="Times New Roman"/>
        </w:rPr>
        <w:t>.</w:t>
      </w:r>
    </w:p>
  </w:footnote>
  <w:footnote w:id="70">
    <w:p w:rsidR="00AC65AB" w:rsidRDefault="00AC65AB" w:rsidP="00B47C44">
      <w:pPr>
        <w:pStyle w:val="FootnoteText"/>
      </w:pPr>
      <w:r>
        <w:rPr>
          <w:rStyle w:val="FootnoteReference"/>
        </w:rPr>
        <w:footnoteRef/>
      </w:r>
      <w:r>
        <w:t xml:space="preserve"> </w:t>
      </w:r>
      <w:r w:rsidR="008365E0" w:rsidRPr="00483A3B">
        <w:rPr>
          <w:rFonts w:ascii="Times New Roman" w:hAnsi="Times New Roman"/>
          <w:i/>
        </w:rPr>
        <w:t>Id</w:t>
      </w:r>
      <w:r w:rsidR="008365E0" w:rsidRPr="002628FD">
        <w:rPr>
          <w:rFonts w:ascii="Times New Roman" w:hAnsi="Times New Roman"/>
        </w:rPr>
        <w:t>.</w:t>
      </w:r>
    </w:p>
  </w:footnote>
  <w:footnote w:id="71">
    <w:p w:rsidR="00AC65AB" w:rsidRPr="00D006FA" w:rsidRDefault="00AC65AB">
      <w:pPr>
        <w:pStyle w:val="FootnoteText"/>
        <w:rPr>
          <w:rFonts w:ascii="Times New Roman" w:hAnsi="Times New Roman" w:cs="Times New Roman"/>
        </w:rPr>
      </w:pPr>
      <w:r w:rsidRPr="00D006FA">
        <w:rPr>
          <w:rStyle w:val="FootnoteReference"/>
          <w:rFonts w:ascii="Times New Roman" w:hAnsi="Times New Roman" w:cs="Times New Roman"/>
        </w:rPr>
        <w:footnoteRef/>
      </w:r>
      <w:r w:rsidRPr="00D006FA">
        <w:rPr>
          <w:rFonts w:ascii="Times New Roman" w:hAnsi="Times New Roman" w:cs="Times New Roman"/>
        </w:rPr>
        <w:t xml:space="preserve"> Salisbury Testimony. </w:t>
      </w:r>
    </w:p>
  </w:footnote>
  <w:footnote w:id="72">
    <w:p w:rsidR="00AC65AB" w:rsidRDefault="00AC65AB" w:rsidP="00B47C44">
      <w:pPr>
        <w:pStyle w:val="FootnoteText"/>
      </w:pPr>
      <w:r>
        <w:rPr>
          <w:rStyle w:val="FootnoteReference"/>
        </w:rPr>
        <w:footnoteRef/>
      </w:r>
      <w:r>
        <w:t xml:space="preserve"> </w:t>
      </w:r>
      <w:proofErr w:type="spellStart"/>
      <w:r>
        <w:rPr>
          <w:rFonts w:ascii="Times New Roman" w:hAnsi="Times New Roman"/>
        </w:rPr>
        <w:t>Theriault</w:t>
      </w:r>
      <w:proofErr w:type="spellEnd"/>
      <w:r>
        <w:rPr>
          <w:rFonts w:ascii="Times New Roman" w:hAnsi="Times New Roman"/>
        </w:rPr>
        <w:t xml:space="preserve"> Testimony; Ex. 17.</w:t>
      </w:r>
    </w:p>
  </w:footnote>
  <w:footnote w:id="73">
    <w:p w:rsidR="00AC65AB" w:rsidRDefault="00AC65AB" w:rsidP="00B47C44">
      <w:pPr>
        <w:pStyle w:val="FootnoteText"/>
      </w:pPr>
      <w:r>
        <w:rPr>
          <w:rStyle w:val="FootnoteReference"/>
        </w:rPr>
        <w:footnoteRef/>
      </w:r>
      <w:r>
        <w:t xml:space="preserve"> </w:t>
      </w:r>
      <w:r w:rsidRPr="004D1E29">
        <w:rPr>
          <w:rFonts w:ascii="Times New Roman" w:hAnsi="Times New Roman"/>
        </w:rPr>
        <w:t>Ex. 17.</w:t>
      </w:r>
      <w:r>
        <w:t xml:space="preserve"> </w:t>
      </w:r>
    </w:p>
  </w:footnote>
  <w:footnote w:id="74">
    <w:p w:rsidR="00AC65AB" w:rsidRDefault="00AC65AB" w:rsidP="00B47C44">
      <w:pPr>
        <w:pStyle w:val="FootnoteText"/>
      </w:pPr>
      <w:r>
        <w:rPr>
          <w:rStyle w:val="FootnoteReference"/>
        </w:rPr>
        <w:footnoteRef/>
      </w:r>
      <w:r>
        <w:t xml:space="preserve"> </w:t>
      </w:r>
      <w:proofErr w:type="spellStart"/>
      <w:r w:rsidRPr="008C233D">
        <w:rPr>
          <w:rFonts w:ascii="Times New Roman" w:hAnsi="Times New Roman"/>
        </w:rPr>
        <w:t>Kitter</w:t>
      </w:r>
      <w:proofErr w:type="spellEnd"/>
      <w:r w:rsidRPr="008C233D">
        <w:rPr>
          <w:rFonts w:ascii="Times New Roman" w:hAnsi="Times New Roman"/>
        </w:rPr>
        <w:t xml:space="preserve"> Testimony; Ex. 18.</w:t>
      </w:r>
      <w:r>
        <w:t xml:space="preserve"> </w:t>
      </w:r>
    </w:p>
  </w:footnote>
  <w:footnote w:id="75">
    <w:p w:rsidR="00AC65AB" w:rsidRDefault="00AC65AB" w:rsidP="00B47C44">
      <w:pPr>
        <w:pStyle w:val="FootnoteText"/>
      </w:pPr>
      <w:r>
        <w:rPr>
          <w:rStyle w:val="FootnoteReference"/>
        </w:rPr>
        <w:footnoteRef/>
      </w:r>
      <w:r>
        <w:t xml:space="preserve"> </w:t>
      </w:r>
      <w:proofErr w:type="spellStart"/>
      <w:r w:rsidRPr="008C233D">
        <w:rPr>
          <w:rFonts w:ascii="Times New Roman" w:hAnsi="Times New Roman"/>
        </w:rPr>
        <w:t>Kitter</w:t>
      </w:r>
      <w:proofErr w:type="spellEnd"/>
      <w:r w:rsidRPr="008C233D">
        <w:rPr>
          <w:rFonts w:ascii="Times New Roman" w:hAnsi="Times New Roman"/>
        </w:rPr>
        <w:t xml:space="preserve"> Testimony.</w:t>
      </w:r>
      <w:r>
        <w:t xml:space="preserve"> </w:t>
      </w:r>
    </w:p>
  </w:footnote>
  <w:footnote w:id="76">
    <w:p w:rsidR="00AC65AB" w:rsidRDefault="00AC65AB" w:rsidP="00B47C44">
      <w:pPr>
        <w:pStyle w:val="FootnoteText"/>
      </w:pPr>
      <w:r>
        <w:rPr>
          <w:rStyle w:val="FootnoteReference"/>
        </w:rPr>
        <w:footnoteRef/>
      </w:r>
      <w:r>
        <w:t xml:space="preserve"> </w:t>
      </w:r>
      <w:r w:rsidR="008365E0" w:rsidRPr="00483A3B">
        <w:rPr>
          <w:rFonts w:ascii="Times New Roman" w:hAnsi="Times New Roman"/>
          <w:i/>
        </w:rPr>
        <w:t>Id</w:t>
      </w:r>
      <w:r w:rsidR="008365E0" w:rsidRPr="002628FD">
        <w:rPr>
          <w:rFonts w:ascii="Times New Roman" w:hAnsi="Times New Roman"/>
        </w:rPr>
        <w:t>.</w:t>
      </w:r>
    </w:p>
  </w:footnote>
  <w:footnote w:id="77">
    <w:p w:rsidR="00AC65AB" w:rsidRDefault="00AC65AB" w:rsidP="00B47C44">
      <w:pPr>
        <w:pStyle w:val="FootnoteText"/>
      </w:pPr>
      <w:r>
        <w:rPr>
          <w:rStyle w:val="FootnoteReference"/>
        </w:rPr>
        <w:footnoteRef/>
      </w:r>
      <w:r>
        <w:t xml:space="preserve"> </w:t>
      </w:r>
      <w:r w:rsidR="008365E0" w:rsidRPr="00483A3B">
        <w:rPr>
          <w:rFonts w:ascii="Times New Roman" w:hAnsi="Times New Roman"/>
          <w:i/>
        </w:rPr>
        <w:t>Id</w:t>
      </w:r>
      <w:r w:rsidR="008365E0" w:rsidRPr="002628FD">
        <w:rPr>
          <w:rFonts w:ascii="Times New Roman" w:hAnsi="Times New Roman"/>
        </w:rPr>
        <w:t>.</w:t>
      </w:r>
    </w:p>
  </w:footnote>
  <w:footnote w:id="78">
    <w:p w:rsidR="00AC65AB" w:rsidRDefault="00AC65AB" w:rsidP="00B47C44">
      <w:pPr>
        <w:pStyle w:val="FootnoteText"/>
      </w:pPr>
      <w:r>
        <w:rPr>
          <w:rStyle w:val="FootnoteReference"/>
        </w:rPr>
        <w:footnoteRef/>
      </w:r>
      <w:r>
        <w:t xml:space="preserve"> </w:t>
      </w:r>
      <w:proofErr w:type="spellStart"/>
      <w:r w:rsidRPr="006C0B79">
        <w:rPr>
          <w:rFonts w:ascii="Times New Roman" w:hAnsi="Times New Roman"/>
        </w:rPr>
        <w:t>Kitter</w:t>
      </w:r>
      <w:proofErr w:type="spellEnd"/>
      <w:r w:rsidRPr="006C0B79">
        <w:rPr>
          <w:rFonts w:ascii="Times New Roman" w:hAnsi="Times New Roman"/>
        </w:rPr>
        <w:t xml:space="preserve"> Testimony; Ex. 18.</w:t>
      </w:r>
      <w:r>
        <w:t xml:space="preserve"> </w:t>
      </w:r>
    </w:p>
  </w:footnote>
  <w:footnote w:id="79">
    <w:p w:rsidR="00AC65AB" w:rsidRDefault="00AC65AB" w:rsidP="00B47C44">
      <w:pPr>
        <w:pStyle w:val="FootnoteText"/>
      </w:pPr>
      <w:r>
        <w:rPr>
          <w:rStyle w:val="FootnoteReference"/>
        </w:rPr>
        <w:footnoteRef/>
      </w:r>
      <w:r>
        <w:t xml:space="preserve"> </w:t>
      </w:r>
      <w:proofErr w:type="spellStart"/>
      <w:r w:rsidRPr="008C233D">
        <w:rPr>
          <w:rFonts w:ascii="Times New Roman" w:hAnsi="Times New Roman"/>
        </w:rPr>
        <w:t>Kitter</w:t>
      </w:r>
      <w:proofErr w:type="spellEnd"/>
      <w:r w:rsidRPr="008C233D">
        <w:rPr>
          <w:rFonts w:ascii="Times New Roman" w:hAnsi="Times New Roman"/>
        </w:rPr>
        <w:t xml:space="preserve"> Testimony.</w:t>
      </w:r>
    </w:p>
  </w:footnote>
  <w:footnote w:id="80">
    <w:p w:rsidR="00AC65AB" w:rsidRPr="00524B21" w:rsidRDefault="00AC65AB" w:rsidP="00B47C44">
      <w:pPr>
        <w:pStyle w:val="FootnoteText"/>
        <w:rPr>
          <w:rFonts w:ascii="Times New Roman" w:hAnsi="Times New Roman"/>
        </w:rPr>
      </w:pPr>
      <w:r w:rsidRPr="00524B21">
        <w:rPr>
          <w:rStyle w:val="FootnoteReference"/>
          <w:rFonts w:ascii="Times New Roman" w:hAnsi="Times New Roman"/>
        </w:rPr>
        <w:footnoteRef/>
      </w:r>
      <w:r w:rsidRPr="00524B21">
        <w:rPr>
          <w:rFonts w:ascii="Times New Roman" w:hAnsi="Times New Roman"/>
        </w:rPr>
        <w:t xml:space="preserve"> </w:t>
      </w:r>
      <w:proofErr w:type="spellStart"/>
      <w:r w:rsidRPr="00524B21">
        <w:rPr>
          <w:rFonts w:ascii="Times New Roman" w:hAnsi="Times New Roman"/>
        </w:rPr>
        <w:t>Theriault</w:t>
      </w:r>
      <w:proofErr w:type="spellEnd"/>
      <w:r w:rsidRPr="00524B21">
        <w:rPr>
          <w:rFonts w:ascii="Times New Roman" w:hAnsi="Times New Roman"/>
        </w:rPr>
        <w:t xml:space="preserve"> Testimony; </w:t>
      </w:r>
      <w:proofErr w:type="spellStart"/>
      <w:r w:rsidRPr="00524B21">
        <w:rPr>
          <w:rFonts w:ascii="Times New Roman" w:hAnsi="Times New Roman"/>
        </w:rPr>
        <w:t>Bafia</w:t>
      </w:r>
      <w:proofErr w:type="spellEnd"/>
      <w:r w:rsidRPr="00524B21">
        <w:rPr>
          <w:rFonts w:ascii="Times New Roman" w:hAnsi="Times New Roman"/>
        </w:rPr>
        <w:t xml:space="preserve"> Testimony. </w:t>
      </w:r>
    </w:p>
  </w:footnote>
  <w:footnote w:id="81">
    <w:p w:rsidR="00AC65AB" w:rsidRPr="00524B21" w:rsidRDefault="00AC65AB" w:rsidP="00B47C44">
      <w:pPr>
        <w:pStyle w:val="FootnoteText"/>
        <w:rPr>
          <w:rFonts w:ascii="Times New Roman" w:hAnsi="Times New Roman"/>
        </w:rPr>
      </w:pPr>
      <w:r w:rsidRPr="00524B21">
        <w:rPr>
          <w:rStyle w:val="FootnoteReference"/>
          <w:rFonts w:ascii="Times New Roman" w:hAnsi="Times New Roman"/>
        </w:rPr>
        <w:footnoteRef/>
      </w:r>
      <w:r>
        <w:rPr>
          <w:rFonts w:ascii="Times New Roman" w:hAnsi="Times New Roman"/>
        </w:rPr>
        <w:t xml:space="preserve"> </w:t>
      </w:r>
      <w:r w:rsidR="008365E0" w:rsidRPr="00483A3B">
        <w:rPr>
          <w:rFonts w:ascii="Times New Roman" w:hAnsi="Times New Roman"/>
          <w:i/>
        </w:rPr>
        <w:t>Id</w:t>
      </w:r>
      <w:r w:rsidR="008365E0" w:rsidRPr="002628FD">
        <w:rPr>
          <w:rFonts w:ascii="Times New Roman" w:hAnsi="Times New Roman"/>
        </w:rPr>
        <w:t>.</w:t>
      </w:r>
    </w:p>
  </w:footnote>
  <w:footnote w:id="82">
    <w:p w:rsidR="00AC65AB" w:rsidRPr="005730BF" w:rsidRDefault="00AC65AB" w:rsidP="00B47C44">
      <w:pPr>
        <w:pStyle w:val="FootnoteText"/>
        <w:rPr>
          <w:rFonts w:ascii="Times New Roman" w:hAnsi="Times New Roman"/>
        </w:rPr>
      </w:pPr>
      <w:r w:rsidRPr="005730BF">
        <w:rPr>
          <w:rStyle w:val="FootnoteReference"/>
          <w:rFonts w:ascii="Times New Roman" w:hAnsi="Times New Roman"/>
        </w:rPr>
        <w:footnoteRef/>
      </w:r>
      <w:r w:rsidRPr="005730BF">
        <w:rPr>
          <w:rFonts w:ascii="Times New Roman" w:hAnsi="Times New Roman"/>
        </w:rPr>
        <w:t xml:space="preserve"> </w:t>
      </w:r>
      <w:proofErr w:type="spellStart"/>
      <w:r w:rsidRPr="005730BF">
        <w:rPr>
          <w:rFonts w:ascii="Times New Roman" w:hAnsi="Times New Roman"/>
        </w:rPr>
        <w:t>Bafia</w:t>
      </w:r>
      <w:proofErr w:type="spellEnd"/>
      <w:r w:rsidRPr="005730BF">
        <w:rPr>
          <w:rFonts w:ascii="Times New Roman" w:hAnsi="Times New Roman"/>
        </w:rPr>
        <w:t xml:space="preserve"> Testimony.</w:t>
      </w:r>
    </w:p>
  </w:footnote>
  <w:footnote w:id="83">
    <w:p w:rsidR="00AC65AB" w:rsidRPr="005730BF" w:rsidRDefault="00AC65AB" w:rsidP="00B47C44">
      <w:pPr>
        <w:pStyle w:val="FootnoteText"/>
        <w:rPr>
          <w:rFonts w:ascii="Times New Roman" w:hAnsi="Times New Roman"/>
        </w:rPr>
      </w:pPr>
      <w:r>
        <w:rPr>
          <w:rStyle w:val="FootnoteReference"/>
        </w:rPr>
        <w:footnoteRef/>
      </w:r>
      <w:r>
        <w:t xml:space="preserve"> </w:t>
      </w:r>
      <w:r w:rsidR="008365E0" w:rsidRPr="00483A3B">
        <w:rPr>
          <w:rFonts w:ascii="Times New Roman" w:hAnsi="Times New Roman"/>
          <w:i/>
        </w:rPr>
        <w:t>Id</w:t>
      </w:r>
      <w:r w:rsidR="008365E0" w:rsidRPr="002628FD">
        <w:rPr>
          <w:rFonts w:ascii="Times New Roman" w:hAnsi="Times New Roman"/>
        </w:rPr>
        <w:t>.</w:t>
      </w:r>
    </w:p>
  </w:footnote>
  <w:footnote w:id="84">
    <w:p w:rsidR="00AC65AB" w:rsidRDefault="00AC65AB" w:rsidP="00B47C44">
      <w:pPr>
        <w:pStyle w:val="FootnoteText"/>
      </w:pPr>
      <w:r>
        <w:rPr>
          <w:rStyle w:val="FootnoteReference"/>
        </w:rPr>
        <w:footnoteRef/>
      </w:r>
      <w:r>
        <w:t xml:space="preserve"> </w:t>
      </w:r>
      <w:proofErr w:type="spellStart"/>
      <w:r w:rsidRPr="00D9156C">
        <w:rPr>
          <w:rFonts w:ascii="Times New Roman" w:hAnsi="Times New Roman"/>
        </w:rPr>
        <w:t>Theriault</w:t>
      </w:r>
      <w:proofErr w:type="spellEnd"/>
      <w:r w:rsidRPr="00D9156C">
        <w:rPr>
          <w:rFonts w:ascii="Times New Roman" w:hAnsi="Times New Roman"/>
        </w:rPr>
        <w:t xml:space="preserve"> Testimony.</w:t>
      </w:r>
      <w:r>
        <w:t xml:space="preserve"> </w:t>
      </w:r>
    </w:p>
  </w:footnote>
  <w:footnote w:id="85">
    <w:p w:rsidR="00AC65AB" w:rsidRDefault="00AC65AB" w:rsidP="00B47C44">
      <w:pPr>
        <w:pStyle w:val="FootnoteText"/>
      </w:pPr>
      <w:r>
        <w:rPr>
          <w:rStyle w:val="FootnoteReference"/>
        </w:rPr>
        <w:footnoteRef/>
      </w:r>
      <w:r>
        <w:t xml:space="preserve"> </w:t>
      </w:r>
      <w:r w:rsidR="008365E0" w:rsidRPr="00483A3B">
        <w:rPr>
          <w:rFonts w:ascii="Times New Roman" w:hAnsi="Times New Roman"/>
          <w:i/>
        </w:rPr>
        <w:t>Id</w:t>
      </w:r>
      <w:r w:rsidR="008365E0" w:rsidRPr="002628FD">
        <w:rPr>
          <w:rFonts w:ascii="Times New Roman" w:hAnsi="Times New Roman"/>
        </w:rPr>
        <w:t>.</w:t>
      </w:r>
    </w:p>
  </w:footnote>
  <w:footnote w:id="86">
    <w:p w:rsidR="00AC65AB" w:rsidRPr="007408BF" w:rsidRDefault="00AC65AB">
      <w:pPr>
        <w:pStyle w:val="FootnoteText"/>
        <w:rPr>
          <w:rFonts w:ascii="Times New Roman" w:hAnsi="Times New Roman" w:cs="Times New Roman"/>
        </w:rPr>
      </w:pPr>
      <w:r w:rsidRPr="007408BF">
        <w:rPr>
          <w:rStyle w:val="FootnoteReference"/>
          <w:rFonts w:ascii="Times New Roman" w:hAnsi="Times New Roman" w:cs="Times New Roman"/>
        </w:rPr>
        <w:footnoteRef/>
      </w:r>
      <w:r w:rsidRPr="007408BF">
        <w:rPr>
          <w:rFonts w:ascii="Times New Roman" w:hAnsi="Times New Roman" w:cs="Times New Roman"/>
        </w:rPr>
        <w:t xml:space="preserve"> Salisbury Testimony. </w:t>
      </w:r>
    </w:p>
  </w:footnote>
  <w:footnote w:id="87">
    <w:p w:rsidR="00AC65AB" w:rsidRDefault="00AC65AB">
      <w:pPr>
        <w:pStyle w:val="FootnoteText"/>
      </w:pPr>
      <w:r>
        <w:rPr>
          <w:rStyle w:val="FootnoteReference"/>
        </w:rPr>
        <w:footnoteRef/>
      </w:r>
      <w:r>
        <w:t xml:space="preserve"> </w:t>
      </w:r>
      <w:r w:rsidRPr="006D65CF">
        <w:rPr>
          <w:rFonts w:ascii="Times New Roman" w:hAnsi="Times New Roman" w:cs="Times New Roman"/>
          <w:i/>
        </w:rPr>
        <w:t>Id</w:t>
      </w:r>
      <w:r>
        <w:t xml:space="preserve">. </w:t>
      </w:r>
    </w:p>
  </w:footnote>
  <w:footnote w:id="88">
    <w:p w:rsidR="00AC65AB" w:rsidRDefault="00AC65AB" w:rsidP="006D65CF">
      <w:pPr>
        <w:pStyle w:val="FootnoteText"/>
      </w:pPr>
      <w:r>
        <w:rPr>
          <w:rStyle w:val="FootnoteReference"/>
        </w:rPr>
        <w:footnoteRef/>
      </w:r>
      <w:r>
        <w:t xml:space="preserve"> </w:t>
      </w:r>
      <w:r w:rsidRPr="006D65CF">
        <w:rPr>
          <w:rFonts w:ascii="Times New Roman" w:hAnsi="Times New Roman" w:cs="Times New Roman"/>
          <w:i/>
        </w:rPr>
        <w:t>Id</w:t>
      </w:r>
      <w:r>
        <w:t>.</w:t>
      </w:r>
    </w:p>
  </w:footnote>
  <w:footnote w:id="89">
    <w:p w:rsidR="00AC65AB" w:rsidRPr="0066256B" w:rsidRDefault="00AC65AB" w:rsidP="00B47C44">
      <w:pPr>
        <w:pStyle w:val="FootnoteText"/>
        <w:rPr>
          <w:rFonts w:ascii="Times New Roman" w:hAnsi="Times New Roman"/>
        </w:rPr>
      </w:pPr>
      <w:r w:rsidRPr="0066256B">
        <w:rPr>
          <w:rStyle w:val="FootnoteReference"/>
          <w:rFonts w:ascii="Times New Roman" w:hAnsi="Times New Roman"/>
        </w:rPr>
        <w:footnoteRef/>
      </w:r>
      <w:r w:rsidRPr="0066256B">
        <w:rPr>
          <w:rFonts w:ascii="Times New Roman" w:hAnsi="Times New Roman"/>
        </w:rPr>
        <w:t xml:space="preserve"> </w:t>
      </w:r>
      <w:proofErr w:type="spellStart"/>
      <w:r w:rsidRPr="0066256B">
        <w:rPr>
          <w:rFonts w:ascii="Times New Roman" w:hAnsi="Times New Roman"/>
        </w:rPr>
        <w:t>Theriault</w:t>
      </w:r>
      <w:proofErr w:type="spellEnd"/>
      <w:r w:rsidRPr="0066256B">
        <w:rPr>
          <w:rFonts w:ascii="Times New Roman" w:hAnsi="Times New Roman"/>
        </w:rPr>
        <w:t xml:space="preserve"> Testimony; Salisbury Testimony; </w:t>
      </w:r>
      <w:proofErr w:type="spellStart"/>
      <w:r w:rsidRPr="0066256B">
        <w:rPr>
          <w:rFonts w:ascii="Times New Roman" w:hAnsi="Times New Roman"/>
        </w:rPr>
        <w:t>Kitter</w:t>
      </w:r>
      <w:proofErr w:type="spellEnd"/>
      <w:r w:rsidRPr="0066256B">
        <w:rPr>
          <w:rFonts w:ascii="Times New Roman" w:hAnsi="Times New Roman"/>
        </w:rPr>
        <w:t xml:space="preserve"> Testimony. </w:t>
      </w:r>
    </w:p>
  </w:footnote>
  <w:footnote w:id="90">
    <w:p w:rsidR="00AC65AB" w:rsidRPr="00B739C5" w:rsidRDefault="00AC65AB" w:rsidP="00B47C44">
      <w:pPr>
        <w:pStyle w:val="FootnoteText"/>
        <w:rPr>
          <w:rFonts w:ascii="Times New Roman" w:hAnsi="Times New Roman" w:cs="Times New Roman"/>
        </w:rPr>
      </w:pPr>
      <w:r w:rsidRPr="00B739C5">
        <w:rPr>
          <w:rStyle w:val="FootnoteReference"/>
          <w:rFonts w:ascii="Times New Roman" w:hAnsi="Times New Roman" w:cs="Times New Roman"/>
        </w:rPr>
        <w:footnoteRef/>
      </w:r>
      <w:r w:rsidRPr="00B739C5">
        <w:rPr>
          <w:rFonts w:ascii="Times New Roman" w:hAnsi="Times New Roman" w:cs="Times New Roman"/>
        </w:rPr>
        <w:t xml:space="preserve"> AS 44.62.460(d). </w:t>
      </w:r>
    </w:p>
  </w:footnote>
  <w:footnote w:id="91">
    <w:p w:rsidR="003F7062" w:rsidRPr="003F7062" w:rsidRDefault="003F7062" w:rsidP="003F7062">
      <w:pPr>
        <w:pStyle w:val="FootnoteText"/>
        <w:rPr>
          <w:rFonts w:ascii="Times New Roman" w:hAnsi="Times New Roman" w:cs="Times New Roman"/>
        </w:rPr>
      </w:pPr>
      <w:r w:rsidRPr="003F7062">
        <w:rPr>
          <w:rStyle w:val="FootnoteReference"/>
          <w:rFonts w:ascii="Times New Roman" w:hAnsi="Times New Roman" w:cs="Times New Roman"/>
        </w:rPr>
        <w:footnoteRef/>
      </w:r>
      <w:r w:rsidRPr="003F7062">
        <w:rPr>
          <w:rFonts w:ascii="Times New Roman" w:hAnsi="Times New Roman" w:cs="Times New Roman"/>
        </w:rPr>
        <w:t xml:space="preserve"> AS 23.40.110(c</w:t>
      </w:r>
      <w:proofErr w:type="gramStart"/>
      <w:r w:rsidRPr="003F7062">
        <w:rPr>
          <w:rFonts w:ascii="Times New Roman" w:hAnsi="Times New Roman" w:cs="Times New Roman"/>
        </w:rPr>
        <w:t>)(</w:t>
      </w:r>
      <w:proofErr w:type="gramEnd"/>
      <w:r w:rsidRPr="003F7062">
        <w:rPr>
          <w:rFonts w:ascii="Times New Roman" w:hAnsi="Times New Roman" w:cs="Times New Roman"/>
        </w:rPr>
        <w:t>2).</w:t>
      </w:r>
    </w:p>
  </w:footnote>
  <w:footnote w:id="92">
    <w:p w:rsidR="00AC65AB" w:rsidRPr="00D504A3" w:rsidRDefault="00AC65AB" w:rsidP="00B47C44">
      <w:pPr>
        <w:pStyle w:val="FootnoteText"/>
        <w:rPr>
          <w:rFonts w:ascii="Times New Roman" w:hAnsi="Times New Roman" w:cs="Times New Roman"/>
        </w:rPr>
      </w:pPr>
      <w:r w:rsidRPr="00D504A3">
        <w:rPr>
          <w:rStyle w:val="FootnoteReference"/>
          <w:rFonts w:ascii="Times New Roman" w:hAnsi="Times New Roman" w:cs="Times New Roman"/>
        </w:rPr>
        <w:footnoteRef/>
      </w:r>
      <w:r w:rsidRPr="00D504A3">
        <w:rPr>
          <w:rFonts w:ascii="Times New Roman" w:hAnsi="Times New Roman" w:cs="Times New Roman"/>
        </w:rPr>
        <w:t xml:space="preserve"> </w:t>
      </w:r>
      <w:r w:rsidRPr="00B1457D">
        <w:rPr>
          <w:rFonts w:ascii="Times New Roman" w:hAnsi="Times New Roman" w:cs="Times New Roman"/>
          <w:i/>
        </w:rPr>
        <w:t>Int’l Org. of Masters, Mates &amp; Pilots v. State</w:t>
      </w:r>
      <w:r w:rsidRPr="00D504A3">
        <w:rPr>
          <w:rFonts w:ascii="Times New Roman" w:hAnsi="Times New Roman" w:cs="Times New Roman"/>
        </w:rPr>
        <w:t>, D</w:t>
      </w:r>
      <w:r w:rsidR="003D57E5">
        <w:rPr>
          <w:rFonts w:ascii="Times New Roman" w:hAnsi="Times New Roman" w:cs="Times New Roman"/>
        </w:rPr>
        <w:t>ecision and Order No. 311</w:t>
      </w:r>
      <w:proofErr w:type="gramStart"/>
      <w:r w:rsidR="003D57E5">
        <w:rPr>
          <w:rFonts w:ascii="Times New Roman" w:hAnsi="Times New Roman" w:cs="Times New Roman"/>
        </w:rPr>
        <w:t>,  9</w:t>
      </w:r>
      <w:proofErr w:type="gramEnd"/>
      <w:r w:rsidR="003D57E5">
        <w:rPr>
          <w:rFonts w:ascii="Times New Roman" w:hAnsi="Times New Roman" w:cs="Times New Roman"/>
        </w:rPr>
        <w:t xml:space="preserve"> (ALRA Apr.</w:t>
      </w:r>
      <w:r w:rsidRPr="00D504A3">
        <w:rPr>
          <w:rFonts w:ascii="Times New Roman" w:hAnsi="Times New Roman" w:cs="Times New Roman"/>
        </w:rPr>
        <w:t xml:space="preserve"> 25, 2017)(internal citations omit</w:t>
      </w:r>
      <w:r w:rsidR="00006F2A">
        <w:rPr>
          <w:rFonts w:ascii="Times New Roman" w:hAnsi="Times New Roman" w:cs="Times New Roman"/>
        </w:rPr>
        <w:t>ted).</w:t>
      </w:r>
    </w:p>
  </w:footnote>
  <w:footnote w:id="93">
    <w:p w:rsidR="00AC65AB" w:rsidRPr="00D504A3" w:rsidRDefault="00AC65AB" w:rsidP="00B47C44">
      <w:pPr>
        <w:pStyle w:val="FootnoteText"/>
        <w:rPr>
          <w:rFonts w:ascii="Times New Roman" w:hAnsi="Times New Roman" w:cs="Times New Roman"/>
        </w:rPr>
      </w:pPr>
      <w:r w:rsidRPr="00D504A3">
        <w:rPr>
          <w:rStyle w:val="FootnoteReference"/>
          <w:rFonts w:ascii="Times New Roman" w:hAnsi="Times New Roman" w:cs="Times New Roman"/>
        </w:rPr>
        <w:footnoteRef/>
      </w:r>
      <w:r w:rsidRPr="00D504A3">
        <w:rPr>
          <w:rFonts w:ascii="Times New Roman" w:hAnsi="Times New Roman" w:cs="Times New Roman"/>
        </w:rPr>
        <w:t xml:space="preserve"> </w:t>
      </w:r>
      <w:r w:rsidRPr="006B35F6">
        <w:rPr>
          <w:rFonts w:ascii="Times New Roman" w:hAnsi="Times New Roman" w:cs="Times New Roman"/>
          <w:i/>
        </w:rPr>
        <w:t>Id</w:t>
      </w:r>
      <w:r w:rsidRPr="00D504A3">
        <w:rPr>
          <w:rFonts w:ascii="Times New Roman" w:hAnsi="Times New Roman" w:cs="Times New Roman"/>
        </w:rPr>
        <w:t>. (internal citations omitted)</w:t>
      </w:r>
    </w:p>
  </w:footnote>
  <w:footnote w:id="94">
    <w:p w:rsidR="00AC65AB" w:rsidRPr="00D504A3" w:rsidRDefault="00AC65AB" w:rsidP="00B47C44">
      <w:pPr>
        <w:pStyle w:val="FootnoteText"/>
        <w:rPr>
          <w:rFonts w:ascii="Times New Roman" w:hAnsi="Times New Roman" w:cs="Times New Roman"/>
        </w:rPr>
      </w:pPr>
      <w:r w:rsidRPr="00D504A3">
        <w:rPr>
          <w:rStyle w:val="FootnoteReference"/>
          <w:rFonts w:ascii="Times New Roman" w:hAnsi="Times New Roman" w:cs="Times New Roman"/>
        </w:rPr>
        <w:footnoteRef/>
      </w:r>
      <w:r>
        <w:rPr>
          <w:rFonts w:ascii="Times New Roman" w:hAnsi="Times New Roman" w:cs="Times New Roman"/>
        </w:rPr>
        <w:t xml:space="preserve"> </w:t>
      </w:r>
      <w:r w:rsidRPr="006B35F6">
        <w:rPr>
          <w:rFonts w:ascii="Times New Roman" w:hAnsi="Times New Roman" w:cs="Times New Roman"/>
          <w:i/>
        </w:rPr>
        <w:t xml:space="preserve">Alaska State </w:t>
      </w:r>
      <w:proofErr w:type="spellStart"/>
      <w:r w:rsidRPr="006B35F6">
        <w:rPr>
          <w:rFonts w:ascii="Times New Roman" w:hAnsi="Times New Roman" w:cs="Times New Roman"/>
          <w:i/>
        </w:rPr>
        <w:t>Emp’s</w:t>
      </w:r>
      <w:proofErr w:type="spellEnd"/>
      <w:r w:rsidRPr="006B35F6">
        <w:rPr>
          <w:rFonts w:ascii="Times New Roman" w:hAnsi="Times New Roman" w:cs="Times New Roman"/>
          <w:i/>
        </w:rPr>
        <w:t xml:space="preserve"> </w:t>
      </w:r>
      <w:proofErr w:type="spellStart"/>
      <w:r w:rsidRPr="006B35F6">
        <w:rPr>
          <w:rFonts w:ascii="Times New Roman" w:hAnsi="Times New Roman" w:cs="Times New Roman"/>
          <w:i/>
        </w:rPr>
        <w:t>Ass’n</w:t>
      </w:r>
      <w:proofErr w:type="spellEnd"/>
      <w:r w:rsidRPr="006B35F6">
        <w:rPr>
          <w:rFonts w:ascii="Times New Roman" w:hAnsi="Times New Roman" w:cs="Times New Roman"/>
          <w:i/>
        </w:rPr>
        <w:t>/AFSCME Local 52, AFL-CIO, v. State (DOT)</w:t>
      </w:r>
      <w:r w:rsidRPr="00D504A3">
        <w:rPr>
          <w:rFonts w:ascii="Times New Roman" w:hAnsi="Times New Roman" w:cs="Times New Roman"/>
        </w:rPr>
        <w:t xml:space="preserve">, </w:t>
      </w:r>
      <w:r w:rsidR="003D57E5">
        <w:rPr>
          <w:rFonts w:ascii="Times New Roman" w:hAnsi="Times New Roman" w:cs="Times New Roman"/>
        </w:rPr>
        <w:t xml:space="preserve">Decision and Order No. 245, 13 </w:t>
      </w:r>
      <w:r w:rsidRPr="00D504A3">
        <w:rPr>
          <w:rFonts w:ascii="Times New Roman" w:hAnsi="Times New Roman" w:cs="Times New Roman"/>
        </w:rPr>
        <w:t>(ALRA Nov. 17</w:t>
      </w:r>
      <w:r w:rsidR="003D57E5">
        <w:rPr>
          <w:rFonts w:ascii="Times New Roman" w:hAnsi="Times New Roman" w:cs="Times New Roman"/>
        </w:rPr>
        <w:t>, 1999)</w:t>
      </w:r>
      <w:r>
        <w:rPr>
          <w:rFonts w:ascii="Times New Roman" w:hAnsi="Times New Roman" w:cs="Times New Roman"/>
        </w:rPr>
        <w:t>(</w:t>
      </w:r>
      <w:r w:rsidRPr="002C1F3F">
        <w:rPr>
          <w:rFonts w:ascii="Times New Roman" w:hAnsi="Times New Roman" w:cs="Times New Roman"/>
          <w:i/>
        </w:rPr>
        <w:t>citing NLRB v. Truitt Mfg. Co.</w:t>
      </w:r>
      <w:r>
        <w:rPr>
          <w:rFonts w:ascii="Times New Roman" w:hAnsi="Times New Roman" w:cs="Times New Roman"/>
        </w:rPr>
        <w:t xml:space="preserve">, 351 US 149 (1956)). </w:t>
      </w:r>
    </w:p>
  </w:footnote>
  <w:footnote w:id="95">
    <w:p w:rsidR="00AC65AB" w:rsidRPr="00D504A3" w:rsidRDefault="00AC65AB" w:rsidP="00B47C44">
      <w:pPr>
        <w:pStyle w:val="FootnoteText"/>
        <w:rPr>
          <w:rFonts w:ascii="Times New Roman" w:hAnsi="Times New Roman" w:cs="Times New Roman"/>
        </w:rPr>
      </w:pPr>
      <w:r w:rsidRPr="00D504A3">
        <w:rPr>
          <w:rStyle w:val="FootnoteReference"/>
          <w:rFonts w:ascii="Times New Roman" w:hAnsi="Times New Roman" w:cs="Times New Roman"/>
        </w:rPr>
        <w:footnoteRef/>
      </w:r>
      <w:r w:rsidR="006B35F6">
        <w:rPr>
          <w:rFonts w:ascii="Times New Roman" w:hAnsi="Times New Roman" w:cs="Times New Roman"/>
        </w:rPr>
        <w:t xml:space="preserve"> </w:t>
      </w:r>
      <w:r w:rsidR="006B35F6" w:rsidRPr="006B35F6">
        <w:rPr>
          <w:rFonts w:ascii="Times New Roman" w:hAnsi="Times New Roman" w:cs="Times New Roman"/>
          <w:i/>
        </w:rPr>
        <w:t xml:space="preserve">Printing &amp; Graphic </w:t>
      </w:r>
      <w:proofErr w:type="spellStart"/>
      <w:r w:rsidR="006B35F6" w:rsidRPr="006B35F6">
        <w:rPr>
          <w:rFonts w:ascii="Times New Roman" w:hAnsi="Times New Roman" w:cs="Times New Roman"/>
          <w:i/>
        </w:rPr>
        <w:t>Comm’</w:t>
      </w:r>
      <w:r w:rsidRPr="006B35F6">
        <w:rPr>
          <w:rFonts w:ascii="Times New Roman" w:hAnsi="Times New Roman" w:cs="Times New Roman"/>
          <w:i/>
        </w:rPr>
        <w:t>s</w:t>
      </w:r>
      <w:proofErr w:type="spellEnd"/>
      <w:r w:rsidRPr="006B35F6">
        <w:rPr>
          <w:rFonts w:ascii="Times New Roman" w:hAnsi="Times New Roman" w:cs="Times New Roman"/>
          <w:i/>
        </w:rPr>
        <w:t xml:space="preserve"> Local 13(Detroit</w:t>
      </w:r>
      <w:proofErr w:type="gramStart"/>
      <w:r w:rsidRPr="006B35F6">
        <w:rPr>
          <w:rFonts w:ascii="Times New Roman" w:hAnsi="Times New Roman" w:cs="Times New Roman"/>
          <w:i/>
        </w:rPr>
        <w:t>)(</w:t>
      </w:r>
      <w:proofErr w:type="gramEnd"/>
      <w:r w:rsidRPr="006B35F6">
        <w:rPr>
          <w:rFonts w:ascii="Times New Roman" w:hAnsi="Times New Roman" w:cs="Times New Roman"/>
          <w:i/>
        </w:rPr>
        <w:t>Oakland Press Co.)</w:t>
      </w:r>
      <w:r w:rsidRPr="00D504A3">
        <w:rPr>
          <w:rFonts w:ascii="Times New Roman" w:hAnsi="Times New Roman" w:cs="Times New Roman"/>
        </w:rPr>
        <w:t xml:space="preserve">, 233 NLRB 994 (1997), </w:t>
      </w:r>
      <w:r w:rsidRPr="00D504A3">
        <w:rPr>
          <w:rFonts w:ascii="Times New Roman" w:hAnsi="Times New Roman" w:cs="Times New Roman"/>
          <w:i/>
        </w:rPr>
        <w:t>aff’d</w:t>
      </w:r>
      <w:r w:rsidRPr="00D504A3">
        <w:rPr>
          <w:rFonts w:ascii="Times New Roman" w:hAnsi="Times New Roman" w:cs="Times New Roman"/>
        </w:rPr>
        <w:t xml:space="preserve">, 598 F.2d 267 (D.C. Cir. 1979). </w:t>
      </w:r>
    </w:p>
  </w:footnote>
  <w:footnote w:id="96">
    <w:p w:rsidR="00AC65AB" w:rsidRPr="00B74462" w:rsidRDefault="00AC65AB" w:rsidP="00B47C44">
      <w:pPr>
        <w:pStyle w:val="FootnoteText"/>
        <w:rPr>
          <w:rFonts w:ascii="Times New Roman" w:hAnsi="Times New Roman"/>
        </w:rPr>
      </w:pPr>
      <w:r w:rsidRPr="00B74462">
        <w:rPr>
          <w:rStyle w:val="FootnoteReference"/>
          <w:rFonts w:ascii="Times New Roman" w:hAnsi="Times New Roman"/>
        </w:rPr>
        <w:footnoteRef/>
      </w:r>
      <w:r w:rsidRPr="00B74462">
        <w:rPr>
          <w:rFonts w:ascii="Times New Roman" w:hAnsi="Times New Roman"/>
        </w:rPr>
        <w:t xml:space="preserve"> </w:t>
      </w:r>
      <w:r w:rsidRPr="00B74462">
        <w:rPr>
          <w:rFonts w:ascii="Times New Roman" w:hAnsi="Times New Roman"/>
          <w:i/>
        </w:rPr>
        <w:t xml:space="preserve">Alaska State </w:t>
      </w:r>
      <w:proofErr w:type="spellStart"/>
      <w:r w:rsidRPr="00B74462">
        <w:rPr>
          <w:rFonts w:ascii="Times New Roman" w:hAnsi="Times New Roman"/>
          <w:i/>
        </w:rPr>
        <w:t>Emp’s</w:t>
      </w:r>
      <w:proofErr w:type="spellEnd"/>
      <w:r w:rsidRPr="00B74462">
        <w:rPr>
          <w:rFonts w:ascii="Times New Roman" w:hAnsi="Times New Roman"/>
          <w:i/>
        </w:rPr>
        <w:t xml:space="preserve"> </w:t>
      </w:r>
      <w:proofErr w:type="spellStart"/>
      <w:r w:rsidRPr="00B74462">
        <w:rPr>
          <w:rFonts w:ascii="Times New Roman" w:hAnsi="Times New Roman"/>
          <w:i/>
        </w:rPr>
        <w:t>Ass’n</w:t>
      </w:r>
      <w:proofErr w:type="spellEnd"/>
      <w:r w:rsidRPr="00B74462">
        <w:rPr>
          <w:rFonts w:ascii="Times New Roman" w:hAnsi="Times New Roman"/>
          <w:i/>
        </w:rPr>
        <w:t xml:space="preserve"> v. State</w:t>
      </w:r>
      <w:r w:rsidRPr="00B74462">
        <w:rPr>
          <w:rFonts w:ascii="Times New Roman" w:hAnsi="Times New Roman"/>
        </w:rPr>
        <w:t>, D</w:t>
      </w:r>
      <w:r w:rsidR="003D57E5">
        <w:rPr>
          <w:rFonts w:ascii="Times New Roman" w:hAnsi="Times New Roman"/>
        </w:rPr>
        <w:t xml:space="preserve">ecision and Order No. </w:t>
      </w:r>
      <w:r w:rsidRPr="00B74462">
        <w:rPr>
          <w:rFonts w:ascii="Times New Roman" w:hAnsi="Times New Roman"/>
        </w:rPr>
        <w:t xml:space="preserve">158, 17 (ALRA </w:t>
      </w:r>
      <w:bookmarkStart w:id="0" w:name="_GoBack"/>
      <w:bookmarkEnd w:id="0"/>
      <w:r w:rsidRPr="00B74462">
        <w:rPr>
          <w:rFonts w:ascii="Times New Roman" w:hAnsi="Times New Roman"/>
        </w:rPr>
        <w:t>May 14, 1993).</w:t>
      </w:r>
    </w:p>
  </w:footnote>
  <w:footnote w:id="97">
    <w:p w:rsidR="00AC65AB" w:rsidRPr="00622FF8" w:rsidRDefault="00AC65AB" w:rsidP="00B47C44">
      <w:pPr>
        <w:pStyle w:val="FootnoteText"/>
        <w:rPr>
          <w:rFonts w:ascii="Times New Roman" w:hAnsi="Times New Roman"/>
        </w:rPr>
      </w:pPr>
      <w:r w:rsidRPr="00622FF8">
        <w:rPr>
          <w:rStyle w:val="FootnoteReference"/>
          <w:rFonts w:ascii="Times New Roman" w:hAnsi="Times New Roman"/>
        </w:rPr>
        <w:footnoteRef/>
      </w:r>
      <w:r w:rsidRPr="00622FF8">
        <w:rPr>
          <w:rFonts w:ascii="Times New Roman" w:hAnsi="Times New Roman"/>
        </w:rPr>
        <w:t xml:space="preserve"> </w:t>
      </w:r>
      <w:r w:rsidRPr="00622FF8">
        <w:rPr>
          <w:rFonts w:ascii="Times New Roman" w:hAnsi="Times New Roman"/>
          <w:i/>
        </w:rPr>
        <w:t>Id</w:t>
      </w:r>
      <w:r w:rsidRPr="00622FF8">
        <w:rPr>
          <w:rFonts w:ascii="Times New Roman" w:hAnsi="Times New Roman"/>
        </w:rPr>
        <w:t>. (internal citations omitted).</w:t>
      </w:r>
    </w:p>
  </w:footnote>
  <w:footnote w:id="98">
    <w:p w:rsidR="00AC65AB" w:rsidRPr="00065D65" w:rsidRDefault="00AC65AB" w:rsidP="00B47C44">
      <w:pPr>
        <w:pStyle w:val="FootnoteText"/>
        <w:rPr>
          <w:rFonts w:ascii="Times New Roman" w:hAnsi="Times New Roman" w:cs="Times New Roman"/>
        </w:rPr>
      </w:pPr>
      <w:r w:rsidRPr="00065D65">
        <w:rPr>
          <w:rStyle w:val="FootnoteReference"/>
          <w:rFonts w:ascii="Times New Roman" w:hAnsi="Times New Roman" w:cs="Times New Roman"/>
        </w:rPr>
        <w:footnoteRef/>
      </w:r>
      <w:r w:rsidRPr="00065D65">
        <w:rPr>
          <w:rFonts w:ascii="Times New Roman" w:hAnsi="Times New Roman" w:cs="Times New Roman"/>
        </w:rPr>
        <w:t xml:space="preserve"> </w:t>
      </w:r>
      <w:r w:rsidRPr="006B35F6">
        <w:rPr>
          <w:rFonts w:ascii="Times New Roman" w:hAnsi="Times New Roman" w:cs="Times New Roman"/>
          <w:i/>
        </w:rPr>
        <w:t>Int’l Broth. Of Firemen and Oilers</w:t>
      </w:r>
      <w:r w:rsidRPr="00065D65">
        <w:rPr>
          <w:rFonts w:ascii="Times New Roman" w:hAnsi="Times New Roman" w:cs="Times New Roman"/>
        </w:rPr>
        <w:t>, 302 NLRB 1008, 1009 (1991).</w:t>
      </w:r>
    </w:p>
  </w:footnote>
  <w:footnote w:id="99">
    <w:p w:rsidR="00AC65AB" w:rsidRPr="007A504F" w:rsidRDefault="00AC65AB" w:rsidP="00B47C44">
      <w:pPr>
        <w:pStyle w:val="FootnoteText"/>
        <w:rPr>
          <w:rFonts w:ascii="Times New Roman" w:hAnsi="Times New Roman" w:cs="Times New Roman"/>
        </w:rPr>
      </w:pPr>
      <w:r w:rsidRPr="007A504F">
        <w:rPr>
          <w:rStyle w:val="FootnoteReference"/>
          <w:rFonts w:ascii="Times New Roman" w:hAnsi="Times New Roman" w:cs="Times New Roman"/>
        </w:rPr>
        <w:footnoteRef/>
      </w:r>
      <w:r w:rsidRPr="007A504F">
        <w:rPr>
          <w:rFonts w:ascii="Times New Roman" w:hAnsi="Times New Roman" w:cs="Times New Roman"/>
        </w:rPr>
        <w:t xml:space="preserve"> </w:t>
      </w:r>
      <w:proofErr w:type="spellStart"/>
      <w:r w:rsidRPr="007A504F">
        <w:rPr>
          <w:rFonts w:ascii="Times New Roman" w:hAnsi="Times New Roman" w:cs="Times New Roman"/>
        </w:rPr>
        <w:t>Theriault</w:t>
      </w:r>
      <w:proofErr w:type="spellEnd"/>
      <w:r w:rsidRPr="007A504F">
        <w:rPr>
          <w:rFonts w:ascii="Times New Roman" w:hAnsi="Times New Roman" w:cs="Times New Roman"/>
        </w:rPr>
        <w:t xml:space="preserve"> Testimony; Salisbury Testimony.</w:t>
      </w:r>
    </w:p>
  </w:footnote>
  <w:footnote w:id="100">
    <w:p w:rsidR="00AC65AB" w:rsidRPr="00EE1682" w:rsidRDefault="00AC65AB" w:rsidP="00B47C44">
      <w:pPr>
        <w:pStyle w:val="FootnoteText"/>
        <w:rPr>
          <w:rFonts w:ascii="Times New Roman" w:hAnsi="Times New Roman" w:cs="Times New Roman"/>
        </w:rPr>
      </w:pPr>
      <w:r w:rsidRPr="00EE1682">
        <w:rPr>
          <w:rStyle w:val="FootnoteReference"/>
          <w:rFonts w:ascii="Times New Roman" w:hAnsi="Times New Roman" w:cs="Times New Roman"/>
        </w:rPr>
        <w:footnoteRef/>
      </w:r>
      <w:r w:rsidRPr="00EE1682">
        <w:rPr>
          <w:rFonts w:ascii="Times New Roman" w:hAnsi="Times New Roman" w:cs="Times New Roman"/>
        </w:rPr>
        <w:t xml:space="preserve"> </w:t>
      </w:r>
      <w:r w:rsidR="006B35F6" w:rsidRPr="006B35F6">
        <w:rPr>
          <w:rFonts w:ascii="Times New Roman" w:hAnsi="Times New Roman" w:cs="Times New Roman"/>
          <w:i/>
        </w:rPr>
        <w:t>Id</w:t>
      </w:r>
      <w:r w:rsidR="006B35F6">
        <w:rPr>
          <w:rFonts w:ascii="Times New Roman" w:hAnsi="Times New Roman" w:cs="Times New Roman"/>
        </w:rPr>
        <w:t xml:space="preserve">. </w:t>
      </w:r>
      <w:r w:rsidRPr="00EE1682">
        <w:rPr>
          <w:rFonts w:ascii="Times New Roman" w:hAnsi="Times New Roman" w:cs="Times New Roman"/>
        </w:rPr>
        <w:t xml:space="preserve"> </w:t>
      </w:r>
    </w:p>
  </w:footnote>
  <w:footnote w:id="101">
    <w:p w:rsidR="00AC65AB" w:rsidRPr="002D6150" w:rsidRDefault="00AC65AB" w:rsidP="00B47C44">
      <w:pPr>
        <w:pStyle w:val="FootnoteText"/>
        <w:rPr>
          <w:rFonts w:ascii="Times New Roman" w:hAnsi="Times New Roman" w:cs="Times New Roman"/>
        </w:rPr>
      </w:pPr>
      <w:r w:rsidRPr="002D6150">
        <w:rPr>
          <w:rStyle w:val="FootnoteReference"/>
          <w:rFonts w:ascii="Times New Roman" w:hAnsi="Times New Roman" w:cs="Times New Roman"/>
        </w:rPr>
        <w:footnoteRef/>
      </w:r>
      <w:r w:rsidRPr="002D6150">
        <w:rPr>
          <w:rFonts w:ascii="Times New Roman" w:hAnsi="Times New Roman" w:cs="Times New Roman"/>
        </w:rPr>
        <w:t xml:space="preserve"> </w:t>
      </w:r>
      <w:r w:rsidR="006B35F6" w:rsidRPr="006B35F6">
        <w:rPr>
          <w:rFonts w:ascii="Times New Roman" w:hAnsi="Times New Roman" w:cs="Times New Roman"/>
          <w:i/>
        </w:rPr>
        <w:t>Id</w:t>
      </w:r>
      <w:r w:rsidR="006B35F6">
        <w:rPr>
          <w:rFonts w:ascii="Times New Roman" w:hAnsi="Times New Roman" w:cs="Times New Roman"/>
        </w:rPr>
        <w:t xml:space="preserve">. </w:t>
      </w:r>
      <w:r w:rsidRPr="002D6150">
        <w:rPr>
          <w:rFonts w:ascii="Times New Roman" w:hAnsi="Times New Roman" w:cs="Times New Roman"/>
        </w:rPr>
        <w:t xml:space="preserve"> </w:t>
      </w:r>
    </w:p>
  </w:footnote>
  <w:footnote w:id="102">
    <w:p w:rsidR="00AC65AB" w:rsidRPr="00703559" w:rsidRDefault="00AC65AB" w:rsidP="00B47C44">
      <w:pPr>
        <w:pStyle w:val="FootnoteText"/>
        <w:rPr>
          <w:rFonts w:ascii="Times New Roman" w:hAnsi="Times New Roman" w:cs="Times New Roman"/>
        </w:rPr>
      </w:pPr>
      <w:r w:rsidRPr="00703559">
        <w:rPr>
          <w:rStyle w:val="FootnoteReference"/>
          <w:rFonts w:ascii="Times New Roman" w:hAnsi="Times New Roman" w:cs="Times New Roman"/>
        </w:rPr>
        <w:footnoteRef/>
      </w:r>
      <w:r w:rsidRPr="00703559">
        <w:rPr>
          <w:rFonts w:ascii="Times New Roman" w:hAnsi="Times New Roman" w:cs="Times New Roman"/>
        </w:rPr>
        <w:t xml:space="preserve"> </w:t>
      </w:r>
      <w:proofErr w:type="spellStart"/>
      <w:r w:rsidRPr="00703559">
        <w:rPr>
          <w:rFonts w:ascii="Times New Roman" w:hAnsi="Times New Roman" w:cs="Times New Roman"/>
        </w:rPr>
        <w:t>Kitter</w:t>
      </w:r>
      <w:proofErr w:type="spellEnd"/>
      <w:r w:rsidRPr="00703559">
        <w:rPr>
          <w:rFonts w:ascii="Times New Roman" w:hAnsi="Times New Roman" w:cs="Times New Roman"/>
        </w:rPr>
        <w:t xml:space="preserve"> Testimony.</w:t>
      </w:r>
    </w:p>
  </w:footnote>
  <w:footnote w:id="103">
    <w:p w:rsidR="00AC65AB" w:rsidRPr="009D4995" w:rsidRDefault="00AC65AB" w:rsidP="00B47C44">
      <w:pPr>
        <w:pStyle w:val="FootnoteText"/>
        <w:rPr>
          <w:rFonts w:ascii="Times New Roman" w:hAnsi="Times New Roman" w:cs="Times New Roman"/>
        </w:rPr>
      </w:pPr>
      <w:r w:rsidRPr="009D4995">
        <w:rPr>
          <w:rStyle w:val="FootnoteReference"/>
          <w:rFonts w:ascii="Times New Roman" w:hAnsi="Times New Roman" w:cs="Times New Roman"/>
        </w:rPr>
        <w:footnoteRef/>
      </w:r>
      <w:r w:rsidRPr="009D4995">
        <w:rPr>
          <w:rFonts w:ascii="Times New Roman" w:hAnsi="Times New Roman" w:cs="Times New Roman"/>
        </w:rPr>
        <w:t xml:space="preserve"> </w:t>
      </w:r>
      <w:r w:rsidR="00006F2A" w:rsidRPr="006B35F6">
        <w:rPr>
          <w:rFonts w:ascii="Times New Roman" w:hAnsi="Times New Roman" w:cs="Times New Roman"/>
          <w:i/>
        </w:rPr>
        <w:t>Id</w:t>
      </w:r>
      <w:r w:rsidR="00006F2A">
        <w:rPr>
          <w:rFonts w:ascii="Times New Roman" w:hAnsi="Times New Roman" w:cs="Times New Roman"/>
        </w:rPr>
        <w:t xml:space="preserve">. </w:t>
      </w:r>
      <w:r w:rsidR="00006F2A" w:rsidRPr="002D6150">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A4EB5"/>
    <w:multiLevelType w:val="hybridMultilevel"/>
    <w:tmpl w:val="D304D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3F3CB6"/>
    <w:multiLevelType w:val="hybridMultilevel"/>
    <w:tmpl w:val="55704510"/>
    <w:lvl w:ilvl="0" w:tplc="F45AE7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BEB"/>
    <w:rsid w:val="00000F06"/>
    <w:rsid w:val="00001543"/>
    <w:rsid w:val="00006F2A"/>
    <w:rsid w:val="00021DE6"/>
    <w:rsid w:val="000521A2"/>
    <w:rsid w:val="00060850"/>
    <w:rsid w:val="00073B24"/>
    <w:rsid w:val="00091E59"/>
    <w:rsid w:val="000B5F95"/>
    <w:rsid w:val="000C589C"/>
    <w:rsid w:val="000E2557"/>
    <w:rsid w:val="000E3D3E"/>
    <w:rsid w:val="0011588C"/>
    <w:rsid w:val="001229C3"/>
    <w:rsid w:val="00142A66"/>
    <w:rsid w:val="00150CDD"/>
    <w:rsid w:val="00195407"/>
    <w:rsid w:val="00195A20"/>
    <w:rsid w:val="001C29AD"/>
    <w:rsid w:val="0020551F"/>
    <w:rsid w:val="00212FE6"/>
    <w:rsid w:val="00220BEB"/>
    <w:rsid w:val="00252119"/>
    <w:rsid w:val="00280614"/>
    <w:rsid w:val="00284CFA"/>
    <w:rsid w:val="002F64BA"/>
    <w:rsid w:val="002F7C87"/>
    <w:rsid w:val="003111FA"/>
    <w:rsid w:val="00315FFE"/>
    <w:rsid w:val="00372A11"/>
    <w:rsid w:val="003805D2"/>
    <w:rsid w:val="00387C51"/>
    <w:rsid w:val="003C3392"/>
    <w:rsid w:val="003D57E5"/>
    <w:rsid w:val="003E0114"/>
    <w:rsid w:val="003F7062"/>
    <w:rsid w:val="0041639B"/>
    <w:rsid w:val="00442E9A"/>
    <w:rsid w:val="00474E17"/>
    <w:rsid w:val="00483A3B"/>
    <w:rsid w:val="00483D47"/>
    <w:rsid w:val="004901A1"/>
    <w:rsid w:val="004933F4"/>
    <w:rsid w:val="004A001E"/>
    <w:rsid w:val="004B48E7"/>
    <w:rsid w:val="004C21DC"/>
    <w:rsid w:val="004E5291"/>
    <w:rsid w:val="00504918"/>
    <w:rsid w:val="005055E4"/>
    <w:rsid w:val="005106CA"/>
    <w:rsid w:val="00526A26"/>
    <w:rsid w:val="00540B87"/>
    <w:rsid w:val="00585DCA"/>
    <w:rsid w:val="005903DD"/>
    <w:rsid w:val="005954C4"/>
    <w:rsid w:val="005B4A98"/>
    <w:rsid w:val="005F2B93"/>
    <w:rsid w:val="005F5CF1"/>
    <w:rsid w:val="006A50A8"/>
    <w:rsid w:val="006B35F6"/>
    <w:rsid w:val="006B6905"/>
    <w:rsid w:val="006C791E"/>
    <w:rsid w:val="006D65CF"/>
    <w:rsid w:val="00722708"/>
    <w:rsid w:val="007408BF"/>
    <w:rsid w:val="007B6BFC"/>
    <w:rsid w:val="007F06F8"/>
    <w:rsid w:val="007F2BA6"/>
    <w:rsid w:val="00834602"/>
    <w:rsid w:val="008365E0"/>
    <w:rsid w:val="00845CC7"/>
    <w:rsid w:val="008600C2"/>
    <w:rsid w:val="00875740"/>
    <w:rsid w:val="008905B6"/>
    <w:rsid w:val="00892D8E"/>
    <w:rsid w:val="008A4050"/>
    <w:rsid w:val="008C40EB"/>
    <w:rsid w:val="008C54AE"/>
    <w:rsid w:val="008D77EA"/>
    <w:rsid w:val="00913D7A"/>
    <w:rsid w:val="009759F8"/>
    <w:rsid w:val="00983994"/>
    <w:rsid w:val="009935E2"/>
    <w:rsid w:val="009A225A"/>
    <w:rsid w:val="009B07A0"/>
    <w:rsid w:val="009B4E44"/>
    <w:rsid w:val="009B7555"/>
    <w:rsid w:val="009D5125"/>
    <w:rsid w:val="009D5436"/>
    <w:rsid w:val="00A06C2A"/>
    <w:rsid w:val="00A65665"/>
    <w:rsid w:val="00A91E9C"/>
    <w:rsid w:val="00A97852"/>
    <w:rsid w:val="00AC65AB"/>
    <w:rsid w:val="00AE47F8"/>
    <w:rsid w:val="00AF1E87"/>
    <w:rsid w:val="00B00135"/>
    <w:rsid w:val="00B1344F"/>
    <w:rsid w:val="00B1457D"/>
    <w:rsid w:val="00B3099A"/>
    <w:rsid w:val="00B47C44"/>
    <w:rsid w:val="00B968C7"/>
    <w:rsid w:val="00BD6F73"/>
    <w:rsid w:val="00C16789"/>
    <w:rsid w:val="00C16C1D"/>
    <w:rsid w:val="00C51051"/>
    <w:rsid w:val="00C557BE"/>
    <w:rsid w:val="00C748E4"/>
    <w:rsid w:val="00C760CA"/>
    <w:rsid w:val="00CC2257"/>
    <w:rsid w:val="00CC7343"/>
    <w:rsid w:val="00D006FA"/>
    <w:rsid w:val="00D52A7D"/>
    <w:rsid w:val="00DC1C92"/>
    <w:rsid w:val="00DE0C40"/>
    <w:rsid w:val="00DE525A"/>
    <w:rsid w:val="00DF2BA6"/>
    <w:rsid w:val="00E25AAE"/>
    <w:rsid w:val="00E26E4D"/>
    <w:rsid w:val="00E32CC0"/>
    <w:rsid w:val="00E47A92"/>
    <w:rsid w:val="00E9470A"/>
    <w:rsid w:val="00EA167C"/>
    <w:rsid w:val="00ED1784"/>
    <w:rsid w:val="00EE0B6A"/>
    <w:rsid w:val="00F00F2A"/>
    <w:rsid w:val="00F27F1F"/>
    <w:rsid w:val="00F33714"/>
    <w:rsid w:val="00F65AEB"/>
    <w:rsid w:val="00F72ECA"/>
    <w:rsid w:val="00F83D41"/>
    <w:rsid w:val="00FA6DEC"/>
    <w:rsid w:val="00FC2D07"/>
    <w:rsid w:val="00FD5520"/>
    <w:rsid w:val="00FE5A83"/>
    <w:rsid w:val="00FF0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C576E"/>
  <w15:chartTrackingRefBased/>
  <w15:docId w15:val="{8974086E-6BB7-4EB7-A9CD-B9761244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C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2A7D"/>
    <w:pPr>
      <w:spacing w:after="0" w:line="240" w:lineRule="auto"/>
    </w:pPr>
  </w:style>
  <w:style w:type="paragraph" w:styleId="Header">
    <w:name w:val="header"/>
    <w:basedOn w:val="Normal"/>
    <w:link w:val="HeaderChar"/>
    <w:uiPriority w:val="99"/>
    <w:unhideWhenUsed/>
    <w:rsid w:val="005F5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CF1"/>
  </w:style>
  <w:style w:type="paragraph" w:styleId="Footer">
    <w:name w:val="footer"/>
    <w:basedOn w:val="Normal"/>
    <w:link w:val="FooterChar"/>
    <w:uiPriority w:val="99"/>
    <w:unhideWhenUsed/>
    <w:rsid w:val="005F5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CF1"/>
  </w:style>
  <w:style w:type="paragraph" w:styleId="ListParagraph">
    <w:name w:val="List Paragraph"/>
    <w:basedOn w:val="Normal"/>
    <w:uiPriority w:val="34"/>
    <w:qFormat/>
    <w:rsid w:val="00B47C44"/>
    <w:pPr>
      <w:ind w:left="720"/>
      <w:contextualSpacing/>
    </w:pPr>
  </w:style>
  <w:style w:type="paragraph" w:styleId="FootnoteText">
    <w:name w:val="footnote text"/>
    <w:basedOn w:val="Normal"/>
    <w:link w:val="FootnoteTextChar"/>
    <w:uiPriority w:val="99"/>
    <w:semiHidden/>
    <w:unhideWhenUsed/>
    <w:rsid w:val="00B47C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7C44"/>
    <w:rPr>
      <w:sz w:val="20"/>
      <w:szCs w:val="20"/>
    </w:rPr>
  </w:style>
  <w:style w:type="character" w:styleId="FootnoteReference">
    <w:name w:val="footnote reference"/>
    <w:basedOn w:val="DefaultParagraphFont"/>
    <w:uiPriority w:val="99"/>
    <w:semiHidden/>
    <w:unhideWhenUsed/>
    <w:rsid w:val="00B47C44"/>
    <w:rPr>
      <w:vertAlign w:val="superscript"/>
    </w:rPr>
  </w:style>
  <w:style w:type="paragraph" w:styleId="BalloonText">
    <w:name w:val="Balloon Text"/>
    <w:basedOn w:val="Normal"/>
    <w:link w:val="BalloonTextChar"/>
    <w:uiPriority w:val="99"/>
    <w:semiHidden/>
    <w:unhideWhenUsed/>
    <w:rsid w:val="00E94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7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78179-9E27-40E3-8DF8-B0582AF62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11</Pages>
  <Words>3622</Words>
  <Characters>20646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DOL</Company>
  <LinksUpToDate>false</LinksUpToDate>
  <CharactersWithSpaces>24220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Thibodeau, Nicole K (DOL)</dc:creator>
  <cp:keywords/>
  <dc:description/>
  <cp:lastModifiedBy>Thibodeau, Nicole K (DOL)</cp:lastModifiedBy>
  <cp:revision>112</cp:revision>
  <cp:lastPrinted>2019-02-28T21:23:00Z</cp:lastPrinted>
  <dcterms:created xsi:type="dcterms:W3CDTF">2019-02-06T22:36:00Z</dcterms:created>
  <dcterms:modified xsi:type="dcterms:W3CDTF">2019-02-28T23:58:00Z</dcterms:modified>
</cp:coreProperties>
</file>