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2BF" w:rsidRPr="00304946" w:rsidRDefault="001E3731" w:rsidP="00304946">
      <w:pPr>
        <w:widowControl/>
        <w:tabs>
          <w:tab w:val="center" w:pos="4680"/>
        </w:tabs>
        <w:suppressAutoHyphens/>
        <w:jc w:val="center"/>
        <w:rPr>
          <w:rFonts w:ascii="Bookman Old Style" w:hAnsi="Bookman Old Style"/>
          <w:b/>
          <w:szCs w:val="24"/>
        </w:rPr>
      </w:pPr>
      <w:r>
        <w:rPr>
          <w:noProof/>
        </w:rPr>
        <w:drawing>
          <wp:anchor distT="0" distB="0" distL="114300" distR="114300" simplePos="0" relativeHeight="251657728" behindDoc="1" locked="0" layoutInCell="1" allowOverlap="1">
            <wp:simplePos x="0" y="0"/>
            <wp:positionH relativeFrom="column">
              <wp:posOffset>-474980</wp:posOffset>
            </wp:positionH>
            <wp:positionV relativeFrom="paragraph">
              <wp:posOffset>-267335</wp:posOffset>
            </wp:positionV>
            <wp:extent cx="7453630" cy="1750060"/>
            <wp:effectExtent l="0" t="0" r="0" b="0"/>
            <wp:wrapNone/>
            <wp:docPr id="2" name="Picture 1"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widowControl/>
        <w:tabs>
          <w:tab w:val="left" w:pos="-720"/>
        </w:tabs>
        <w:suppressAutoHyphens/>
        <w:rPr>
          <w:rFonts w:ascii="Bookman Old Style" w:hAnsi="Bookman Old Style"/>
          <w:szCs w:val="24"/>
        </w:rPr>
      </w:pPr>
    </w:p>
    <w:p w:rsidR="00780095" w:rsidRPr="00304946" w:rsidRDefault="00780095" w:rsidP="00304946">
      <w:pPr>
        <w:tabs>
          <w:tab w:val="center" w:pos="4680"/>
        </w:tabs>
        <w:suppressAutoHyphens/>
        <w:jc w:val="center"/>
        <w:outlineLvl w:val="0"/>
        <w:rPr>
          <w:rFonts w:ascii="Bookman Old Style" w:hAnsi="Bookman Old Style"/>
          <w:b/>
          <w:szCs w:val="24"/>
        </w:rPr>
      </w:pPr>
      <w:r w:rsidRPr="00304946">
        <w:rPr>
          <w:rFonts w:ascii="Bookman Old Style" w:hAnsi="Bookman Old Style"/>
          <w:b/>
          <w:szCs w:val="24"/>
        </w:rPr>
        <w:t>APPEAL TRIBUNAL DECISION</w:t>
      </w:r>
    </w:p>
    <w:p w:rsidR="00780095" w:rsidRPr="00304946" w:rsidRDefault="00780095" w:rsidP="00304946">
      <w:pPr>
        <w:tabs>
          <w:tab w:val="left" w:pos="-720"/>
        </w:tabs>
        <w:suppressAutoHyphens/>
        <w:rPr>
          <w:rFonts w:ascii="Bookman Old Style" w:hAnsi="Bookman Old Style"/>
          <w:szCs w:val="24"/>
        </w:rPr>
      </w:pPr>
    </w:p>
    <w:p w:rsidR="00780095" w:rsidRPr="00304946" w:rsidRDefault="00780095" w:rsidP="00304946">
      <w:pPr>
        <w:tabs>
          <w:tab w:val="center" w:pos="4680"/>
        </w:tabs>
        <w:suppressAutoHyphens/>
        <w:jc w:val="center"/>
        <w:outlineLvl w:val="0"/>
        <w:rPr>
          <w:rFonts w:ascii="Bookman Old Style" w:hAnsi="Bookman Old Style"/>
          <w:szCs w:val="24"/>
        </w:rPr>
      </w:pPr>
      <w:r w:rsidRPr="00304946">
        <w:rPr>
          <w:rFonts w:ascii="Bookman Old Style" w:hAnsi="Bookman Old Style"/>
          <w:b/>
          <w:szCs w:val="24"/>
        </w:rPr>
        <w:t xml:space="preserve">Docket </w:t>
      </w:r>
      <w:r w:rsidR="00746072" w:rsidRPr="00304946">
        <w:rPr>
          <w:rFonts w:ascii="Bookman Old Style" w:hAnsi="Bookman Old Style"/>
          <w:b/>
          <w:szCs w:val="24"/>
        </w:rPr>
        <w:t>number:</w:t>
      </w:r>
      <w:r w:rsidRPr="00304946">
        <w:rPr>
          <w:rFonts w:ascii="Bookman Old Style" w:hAnsi="Bookman Old Style"/>
          <w:szCs w:val="24"/>
        </w:rPr>
        <w:t xml:space="preserve"> </w:t>
      </w:r>
      <w:r w:rsidR="001E3731">
        <w:rPr>
          <w:rFonts w:ascii="Bookman Old Style" w:hAnsi="Bookman Old Style"/>
          <w:szCs w:val="24"/>
        </w:rPr>
        <w:t>19 0482</w:t>
      </w:r>
      <w:r w:rsidR="00DC68B2" w:rsidRPr="00304946">
        <w:rPr>
          <w:rFonts w:ascii="Bookman Old Style" w:hAnsi="Bookman Old Style"/>
          <w:szCs w:val="24"/>
        </w:rPr>
        <w:t xml:space="preserve">    </w:t>
      </w:r>
      <w:r w:rsidR="00746072" w:rsidRPr="00304946">
        <w:rPr>
          <w:rFonts w:ascii="Bookman Old Style" w:hAnsi="Bookman Old Style"/>
          <w:b/>
          <w:szCs w:val="24"/>
        </w:rPr>
        <w:t>Hearing d</w:t>
      </w:r>
      <w:r w:rsidRPr="00304946">
        <w:rPr>
          <w:rFonts w:ascii="Bookman Old Style" w:hAnsi="Bookman Old Style"/>
          <w:b/>
          <w:szCs w:val="24"/>
        </w:rPr>
        <w:t>ate:</w:t>
      </w:r>
      <w:r w:rsidRPr="00304946">
        <w:rPr>
          <w:rFonts w:ascii="Bookman Old Style" w:hAnsi="Bookman Old Style"/>
          <w:szCs w:val="24"/>
        </w:rPr>
        <w:t xml:space="preserve"> </w:t>
      </w:r>
      <w:r w:rsidR="001E3731">
        <w:rPr>
          <w:rFonts w:ascii="Bookman Old Style" w:hAnsi="Bookman Old Style"/>
          <w:szCs w:val="24"/>
        </w:rPr>
        <w:t>July 26, 2019</w:t>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1E3731" w:rsidRPr="00202779" w:rsidRDefault="001E3731" w:rsidP="001E3731">
      <w:pPr>
        <w:tabs>
          <w:tab w:val="left" w:pos="-1440"/>
          <w:tab w:val="left" w:pos="-720"/>
          <w:tab w:val="left" w:pos="0"/>
          <w:tab w:val="left" w:pos="5040"/>
        </w:tabs>
        <w:suppressAutoHyphens/>
        <w:ind w:right="-360"/>
        <w:outlineLvl w:val="0"/>
        <w:rPr>
          <w:rFonts w:ascii="Bookman Old Style" w:hAnsi="Bookman Old Style"/>
          <w:szCs w:val="24"/>
        </w:rPr>
      </w:pPr>
      <w:r w:rsidRPr="00202779">
        <w:rPr>
          <w:rFonts w:ascii="Bookman Old Style" w:hAnsi="Bookman Old Style"/>
          <w:b/>
          <w:szCs w:val="24"/>
        </w:rPr>
        <w:t>CLAIMANT:</w:t>
      </w:r>
      <w:r w:rsidRPr="00202779">
        <w:rPr>
          <w:rFonts w:ascii="Bookman Old Style" w:hAnsi="Bookman Old Style"/>
          <w:b/>
          <w:szCs w:val="24"/>
        </w:rPr>
        <w:tab/>
        <w:t>DETS:</w:t>
      </w:r>
      <w:r w:rsidRPr="00202779">
        <w:rPr>
          <w:rFonts w:ascii="Bookman Old Style" w:hAnsi="Bookman Old Style"/>
          <w:b/>
          <w:szCs w:val="24"/>
        </w:rPr>
        <w:tab/>
      </w:r>
    </w:p>
    <w:p w:rsidR="001E3731" w:rsidRPr="00202779" w:rsidRDefault="001E3731" w:rsidP="001E3731">
      <w:pPr>
        <w:tabs>
          <w:tab w:val="left" w:pos="-1440"/>
          <w:tab w:val="left" w:pos="-720"/>
          <w:tab w:val="left" w:pos="0"/>
          <w:tab w:val="left" w:pos="5040"/>
        </w:tabs>
        <w:suppressAutoHyphens/>
        <w:ind w:right="-360"/>
        <w:rPr>
          <w:rFonts w:ascii="Bookman Old Style" w:hAnsi="Bookman Old Style"/>
          <w:szCs w:val="24"/>
        </w:rPr>
      </w:pPr>
      <w:r w:rsidRPr="00202779">
        <w:rPr>
          <w:rFonts w:ascii="Bookman Old Style" w:hAnsi="Bookman Old Style"/>
          <w:szCs w:val="24"/>
        </w:rPr>
        <w:tab/>
      </w:r>
    </w:p>
    <w:p w:rsidR="001E3731" w:rsidRDefault="001E3731" w:rsidP="001E3731">
      <w:pPr>
        <w:tabs>
          <w:tab w:val="left" w:pos="5040"/>
        </w:tabs>
        <w:rPr>
          <w:rFonts w:ascii="Bookman Old Style" w:hAnsi="Bookman Old Style"/>
          <w:szCs w:val="24"/>
        </w:rPr>
      </w:pPr>
      <w:r w:rsidRPr="00EE768E">
        <w:rPr>
          <w:rFonts w:ascii="Bookman Old Style" w:hAnsi="Bookman Old Style"/>
          <w:szCs w:val="24"/>
        </w:rPr>
        <w:t>ISAAC NORRIS</w:t>
      </w:r>
      <w:r w:rsidRPr="00202779">
        <w:rPr>
          <w:rFonts w:ascii="Bookman Old Style" w:hAnsi="Bookman Old Style"/>
          <w:szCs w:val="24"/>
        </w:rPr>
        <w:tab/>
      </w:r>
      <w:r>
        <w:rPr>
          <w:rFonts w:ascii="Bookman Old Style" w:hAnsi="Bookman Old Style"/>
          <w:szCs w:val="24"/>
        </w:rPr>
        <w:t>BENEFIT PAYMENT CONTROL UNIT</w:t>
      </w:r>
    </w:p>
    <w:p w:rsidR="001E3731" w:rsidRDefault="001E3731" w:rsidP="001E3731">
      <w:pPr>
        <w:tabs>
          <w:tab w:val="left" w:pos="-1440"/>
          <w:tab w:val="left" w:pos="-720"/>
          <w:tab w:val="left" w:pos="0"/>
          <w:tab w:val="left" w:pos="5040"/>
        </w:tabs>
        <w:suppressAutoHyphens/>
        <w:ind w:right="-360"/>
        <w:rPr>
          <w:rFonts w:ascii="Bookman Old Style" w:hAnsi="Bookman Old Style"/>
          <w:szCs w:val="24"/>
        </w:rPr>
      </w:pPr>
    </w:p>
    <w:p w:rsidR="0006530E" w:rsidRDefault="0006530E" w:rsidP="001E3731">
      <w:pPr>
        <w:tabs>
          <w:tab w:val="left" w:pos="-1440"/>
          <w:tab w:val="left" w:pos="-720"/>
          <w:tab w:val="left" w:pos="0"/>
          <w:tab w:val="left" w:pos="5040"/>
        </w:tabs>
        <w:suppressAutoHyphens/>
        <w:ind w:right="-360"/>
        <w:rPr>
          <w:rFonts w:ascii="Bookman Old Style" w:hAnsi="Bookman Old Style"/>
          <w:szCs w:val="24"/>
        </w:rPr>
      </w:pPr>
    </w:p>
    <w:p w:rsidR="0006530E" w:rsidRPr="00202779" w:rsidRDefault="0006530E" w:rsidP="001E3731">
      <w:pPr>
        <w:tabs>
          <w:tab w:val="left" w:pos="-1440"/>
          <w:tab w:val="left" w:pos="-720"/>
          <w:tab w:val="left" w:pos="0"/>
          <w:tab w:val="left" w:pos="5040"/>
        </w:tabs>
        <w:suppressAutoHyphens/>
        <w:ind w:right="-360"/>
        <w:rPr>
          <w:rFonts w:ascii="Bookman Old Style" w:hAnsi="Bookman Old Style"/>
          <w:szCs w:val="24"/>
        </w:rPr>
      </w:pPr>
      <w:bookmarkStart w:id="0" w:name="_GoBack"/>
      <w:bookmarkEnd w:id="0"/>
    </w:p>
    <w:p w:rsidR="001E3731" w:rsidRPr="00202779" w:rsidRDefault="001E3731" w:rsidP="001E3731">
      <w:pPr>
        <w:tabs>
          <w:tab w:val="left" w:pos="-1440"/>
          <w:tab w:val="left" w:pos="-720"/>
          <w:tab w:val="left" w:pos="0"/>
          <w:tab w:val="left" w:pos="5040"/>
        </w:tabs>
        <w:suppressAutoHyphens/>
        <w:ind w:right="-360"/>
        <w:rPr>
          <w:rFonts w:ascii="Bookman Old Style" w:hAnsi="Bookman Old Style"/>
          <w:b/>
          <w:szCs w:val="24"/>
        </w:rPr>
      </w:pPr>
      <w:r w:rsidRPr="00202779">
        <w:rPr>
          <w:rFonts w:ascii="Bookman Old Style" w:hAnsi="Bookman Old Style"/>
          <w:b/>
          <w:szCs w:val="24"/>
        </w:rPr>
        <w:t>CLAIMANT APPEARANCES:</w:t>
      </w:r>
      <w:r w:rsidRPr="00202779">
        <w:rPr>
          <w:rFonts w:ascii="Bookman Old Style" w:hAnsi="Bookman Old Style"/>
          <w:b/>
          <w:szCs w:val="24"/>
        </w:rPr>
        <w:tab/>
        <w:t>DETS APPEARANCES:</w:t>
      </w:r>
      <w:r w:rsidRPr="00202779">
        <w:rPr>
          <w:rFonts w:ascii="Bookman Old Style" w:hAnsi="Bookman Old Style"/>
          <w:b/>
          <w:szCs w:val="24"/>
        </w:rPr>
        <w:tab/>
      </w:r>
    </w:p>
    <w:p w:rsidR="001E3731" w:rsidRPr="00202779" w:rsidRDefault="001E3731" w:rsidP="001E3731">
      <w:pPr>
        <w:tabs>
          <w:tab w:val="left" w:pos="-1440"/>
          <w:tab w:val="left" w:pos="-720"/>
          <w:tab w:val="left" w:pos="0"/>
          <w:tab w:val="left" w:pos="5040"/>
        </w:tabs>
        <w:suppressAutoHyphens/>
        <w:ind w:right="-360"/>
        <w:rPr>
          <w:rFonts w:ascii="Bookman Old Style" w:hAnsi="Bookman Old Style"/>
          <w:szCs w:val="24"/>
        </w:rPr>
      </w:pPr>
    </w:p>
    <w:p w:rsidR="001E3731" w:rsidRPr="00202779" w:rsidRDefault="001E3731" w:rsidP="001E3731">
      <w:pPr>
        <w:tabs>
          <w:tab w:val="left" w:pos="-1440"/>
          <w:tab w:val="left" w:pos="-720"/>
          <w:tab w:val="left" w:pos="0"/>
          <w:tab w:val="left" w:pos="5040"/>
        </w:tabs>
        <w:suppressAutoHyphens/>
        <w:ind w:right="-360"/>
        <w:rPr>
          <w:rFonts w:ascii="Bookman Old Style" w:hAnsi="Bookman Old Style"/>
          <w:szCs w:val="24"/>
        </w:rPr>
      </w:pPr>
      <w:r>
        <w:rPr>
          <w:rFonts w:ascii="Bookman Old Style" w:hAnsi="Bookman Old Style"/>
          <w:szCs w:val="24"/>
        </w:rPr>
        <w:t>Isaac Norris</w:t>
      </w:r>
      <w:r w:rsidRPr="00202779">
        <w:rPr>
          <w:rFonts w:ascii="Bookman Old Style" w:hAnsi="Bookman Old Style"/>
          <w:szCs w:val="24"/>
        </w:rPr>
        <w:tab/>
      </w:r>
      <w:proofErr w:type="spellStart"/>
      <w:r>
        <w:rPr>
          <w:rFonts w:ascii="Bookman Old Style" w:hAnsi="Bookman Old Style"/>
          <w:szCs w:val="24"/>
        </w:rPr>
        <w:t>Cyndy</w:t>
      </w:r>
      <w:proofErr w:type="spellEnd"/>
      <w:r>
        <w:rPr>
          <w:rFonts w:ascii="Bookman Old Style" w:hAnsi="Bookman Old Style"/>
          <w:szCs w:val="24"/>
        </w:rPr>
        <w:t xml:space="preserve"> </w:t>
      </w:r>
      <w:proofErr w:type="spellStart"/>
      <w:r>
        <w:rPr>
          <w:rFonts w:ascii="Bookman Old Style" w:hAnsi="Bookman Old Style"/>
          <w:szCs w:val="24"/>
        </w:rPr>
        <w:t>Imboden</w:t>
      </w:r>
      <w:proofErr w:type="spellEnd"/>
    </w:p>
    <w:p w:rsidR="004F7405" w:rsidRPr="00304946" w:rsidRDefault="004F7405" w:rsidP="00304946">
      <w:pPr>
        <w:tabs>
          <w:tab w:val="left" w:pos="-1440"/>
          <w:tab w:val="left" w:pos="-720"/>
          <w:tab w:val="left" w:pos="0"/>
          <w:tab w:val="left" w:pos="5760"/>
        </w:tabs>
        <w:suppressAutoHyphens/>
        <w:ind w:right="-360"/>
        <w:rPr>
          <w:rFonts w:ascii="Bookman Old Style" w:hAnsi="Bookman Old Style"/>
          <w:szCs w:val="24"/>
        </w:rPr>
      </w:pPr>
    </w:p>
    <w:p w:rsidR="0078796F" w:rsidRPr="00304946" w:rsidRDefault="00780095" w:rsidP="00304946">
      <w:pPr>
        <w:pStyle w:val="Heading4"/>
        <w:jc w:val="center"/>
        <w:rPr>
          <w:rFonts w:ascii="Bookman Old Style" w:hAnsi="Bookman Old Style"/>
          <w:i w:val="0"/>
          <w:color w:val="auto"/>
          <w:szCs w:val="24"/>
        </w:rPr>
      </w:pPr>
      <w:r w:rsidRPr="00304946">
        <w:rPr>
          <w:rFonts w:ascii="Bookman Old Style" w:hAnsi="Bookman Old Style"/>
          <w:b w:val="0"/>
          <w:color w:val="auto"/>
          <w:szCs w:val="24"/>
        </w:rPr>
        <w:tab/>
      </w:r>
      <w:r w:rsidR="0078796F" w:rsidRPr="00304946">
        <w:rPr>
          <w:rFonts w:ascii="Bookman Old Style" w:hAnsi="Bookman Old Style"/>
          <w:i w:val="0"/>
          <w:color w:val="auto"/>
          <w:szCs w:val="24"/>
        </w:rPr>
        <w:t>CASE HISTORY AND FINDINGS OF FACT</w:t>
      </w:r>
    </w:p>
    <w:p w:rsidR="0078796F" w:rsidRPr="00304946" w:rsidRDefault="0078796F" w:rsidP="00304946">
      <w:pPr>
        <w:tabs>
          <w:tab w:val="left" w:pos="-1440"/>
          <w:tab w:val="left" w:pos="-720"/>
        </w:tabs>
        <w:rPr>
          <w:rFonts w:ascii="Bookman Old Style" w:hAnsi="Bookman Old Style"/>
          <w:szCs w:val="24"/>
        </w:rPr>
      </w:pPr>
    </w:p>
    <w:p w:rsidR="0078796F"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The cla</w:t>
      </w:r>
      <w:r w:rsidR="000E7714" w:rsidRPr="00304946">
        <w:rPr>
          <w:rFonts w:ascii="Bookman Old Style" w:hAnsi="Bookman Old Style"/>
          <w:szCs w:val="24"/>
        </w:rPr>
        <w:t>imant filed an appeal against a</w:t>
      </w:r>
      <w:r w:rsidR="001E3731">
        <w:rPr>
          <w:rFonts w:ascii="Bookman Old Style" w:hAnsi="Bookman Old Style"/>
          <w:szCs w:val="24"/>
        </w:rPr>
        <w:t>n April 4, 2019</w:t>
      </w:r>
      <w:r w:rsidRPr="00304946">
        <w:rPr>
          <w:rFonts w:ascii="Bookman Old Style" w:hAnsi="Bookman Old Style"/>
          <w:szCs w:val="24"/>
        </w:rPr>
        <w:t xml:space="preserve"> dete</w:t>
      </w:r>
      <w:r w:rsidR="00304946" w:rsidRPr="00304946">
        <w:rPr>
          <w:rFonts w:ascii="Bookman Old Style" w:hAnsi="Bookman Old Style"/>
          <w:szCs w:val="24"/>
        </w:rPr>
        <w:t>rmination that denied benefits</w:t>
      </w:r>
      <w:r w:rsidRPr="00304946">
        <w:rPr>
          <w:rFonts w:ascii="Bookman Old Style" w:hAnsi="Bookman Old Style"/>
          <w:szCs w:val="24"/>
        </w:rPr>
        <w:t xml:space="preserve"> under AS 23.20.</w:t>
      </w:r>
      <w:r w:rsidR="001E3731">
        <w:rPr>
          <w:rFonts w:ascii="Bookman Old Style" w:hAnsi="Bookman Old Style"/>
          <w:szCs w:val="24"/>
        </w:rPr>
        <w:t>3</w:t>
      </w:r>
      <w:r w:rsidR="00FB2213">
        <w:rPr>
          <w:rFonts w:ascii="Bookman Old Style" w:hAnsi="Bookman Old Style"/>
          <w:szCs w:val="24"/>
        </w:rPr>
        <w:t>62 and</w:t>
      </w:r>
      <w:r w:rsidR="00E446EA">
        <w:rPr>
          <w:rFonts w:ascii="Bookman Old Style" w:hAnsi="Bookman Old Style"/>
          <w:szCs w:val="24"/>
        </w:rPr>
        <w:t xml:space="preserve"> AS 23.20.387 </w:t>
      </w:r>
      <w:r w:rsidRPr="00304946">
        <w:rPr>
          <w:rFonts w:ascii="Bookman Old Style" w:hAnsi="Bookman Old Style"/>
          <w:szCs w:val="24"/>
        </w:rPr>
        <w:t>on the ground</w:t>
      </w:r>
      <w:r w:rsidR="000E7714" w:rsidRPr="00304946">
        <w:rPr>
          <w:rFonts w:ascii="Bookman Old Style" w:hAnsi="Bookman Old Style"/>
          <w:szCs w:val="24"/>
        </w:rPr>
        <w:t>s</w:t>
      </w:r>
      <w:r w:rsidRPr="00304946">
        <w:rPr>
          <w:rFonts w:ascii="Bookman Old Style" w:hAnsi="Bookman Old Style"/>
          <w:szCs w:val="24"/>
        </w:rPr>
        <w:t xml:space="preserve"> that </w:t>
      </w:r>
      <w:r w:rsidR="00E446EA">
        <w:rPr>
          <w:rFonts w:ascii="Bookman Old Style" w:hAnsi="Bookman Old Style"/>
          <w:szCs w:val="24"/>
        </w:rPr>
        <w:t>the claimant intentionally failed to report deductible income</w:t>
      </w:r>
      <w:r w:rsidR="00FB2213">
        <w:rPr>
          <w:rFonts w:ascii="Bookman Old Style" w:hAnsi="Bookman Old Style"/>
          <w:szCs w:val="24"/>
        </w:rPr>
        <w:t>,</w:t>
      </w:r>
      <w:r w:rsidR="00E446EA">
        <w:rPr>
          <w:rFonts w:ascii="Bookman Old Style" w:hAnsi="Bookman Old Style"/>
          <w:szCs w:val="24"/>
        </w:rPr>
        <w:t xml:space="preserve"> and held him responsible to repay unentitled benefits and a penalty in AS 23.20.390</w:t>
      </w:r>
      <w:r w:rsidRPr="00304946">
        <w:rPr>
          <w:rFonts w:ascii="Bookman Old Style" w:hAnsi="Bookman Old Style"/>
          <w:szCs w:val="24"/>
        </w:rPr>
        <w:t xml:space="preserve">. The Division mailed the determination to the claimant’s address of record on </w:t>
      </w:r>
      <w:r w:rsidR="00E446EA">
        <w:rPr>
          <w:rFonts w:ascii="Bookman Old Style" w:hAnsi="Bookman Old Style"/>
          <w:szCs w:val="24"/>
        </w:rPr>
        <w:t>April 5, 2019</w:t>
      </w:r>
      <w:r w:rsidRPr="00304946">
        <w:rPr>
          <w:rFonts w:ascii="Bookman Old Style" w:hAnsi="Bookman Old Style"/>
          <w:szCs w:val="24"/>
        </w:rPr>
        <w:t>.</w:t>
      </w:r>
      <w:r w:rsidR="000E7714" w:rsidRPr="00304946">
        <w:rPr>
          <w:rFonts w:ascii="Bookman Old Style" w:hAnsi="Bookman Old Style"/>
          <w:szCs w:val="24"/>
        </w:rPr>
        <w:t xml:space="preserve"> The claimant’s appeal was filed on</w:t>
      </w:r>
      <w:r w:rsidRPr="00304946">
        <w:rPr>
          <w:rFonts w:ascii="Bookman Old Style" w:hAnsi="Bookman Old Style"/>
          <w:szCs w:val="24"/>
        </w:rPr>
        <w:t xml:space="preserve"> </w:t>
      </w:r>
      <w:r w:rsidR="00E446EA">
        <w:rPr>
          <w:rFonts w:ascii="Bookman Old Style" w:hAnsi="Bookman Old Style"/>
          <w:szCs w:val="24"/>
        </w:rPr>
        <w:t>May 16, 2019</w:t>
      </w:r>
      <w:r w:rsidR="000E7714" w:rsidRPr="00304946">
        <w:rPr>
          <w:rFonts w:ascii="Bookman Old Style" w:hAnsi="Bookman Old Style"/>
          <w:szCs w:val="24"/>
        </w:rPr>
        <w:t xml:space="preserve">, giving rise to the issue of the timeliness of the </w:t>
      </w:r>
      <w:r w:rsidR="00E446EA">
        <w:rPr>
          <w:rFonts w:ascii="Bookman Old Style" w:hAnsi="Bookman Old Style"/>
          <w:szCs w:val="24"/>
        </w:rPr>
        <w:t>claimant’s</w:t>
      </w:r>
      <w:r w:rsidR="00304946" w:rsidRPr="00304946">
        <w:rPr>
          <w:rFonts w:ascii="Bookman Old Style" w:hAnsi="Bookman Old Style"/>
          <w:szCs w:val="24"/>
        </w:rPr>
        <w:t xml:space="preserve"> </w:t>
      </w:r>
      <w:r w:rsidR="000E7714" w:rsidRPr="00304946">
        <w:rPr>
          <w:rFonts w:ascii="Bookman Old Style" w:hAnsi="Bookman Old Style"/>
          <w:szCs w:val="24"/>
        </w:rPr>
        <w:t>appeal.</w:t>
      </w:r>
    </w:p>
    <w:p w:rsidR="00E446EA" w:rsidRDefault="00E446EA" w:rsidP="00304946">
      <w:pPr>
        <w:tabs>
          <w:tab w:val="left" w:pos="-1440"/>
          <w:tab w:val="left" w:pos="-720"/>
        </w:tabs>
        <w:rPr>
          <w:rFonts w:ascii="Bookman Old Style" w:hAnsi="Bookman Old Style"/>
          <w:szCs w:val="24"/>
        </w:rPr>
      </w:pPr>
    </w:p>
    <w:p w:rsidR="00735E13" w:rsidRDefault="00E446EA" w:rsidP="00304946">
      <w:pPr>
        <w:tabs>
          <w:tab w:val="left" w:pos="-1440"/>
          <w:tab w:val="left" w:pos="-720"/>
        </w:tabs>
        <w:rPr>
          <w:rFonts w:ascii="Bookman Old Style" w:hAnsi="Bookman Old Style"/>
          <w:szCs w:val="24"/>
        </w:rPr>
      </w:pPr>
      <w:r>
        <w:rPr>
          <w:rFonts w:ascii="Bookman Old Style" w:hAnsi="Bookman Old Style"/>
          <w:szCs w:val="24"/>
        </w:rPr>
        <w:t xml:space="preserve">The claimant arranged to have his mail delivered to the house of a friend while he was </w:t>
      </w:r>
      <w:r w:rsidR="00FB2213">
        <w:rPr>
          <w:rFonts w:ascii="Bookman Old Style" w:hAnsi="Bookman Old Style"/>
          <w:szCs w:val="24"/>
        </w:rPr>
        <w:t xml:space="preserve">at work and </w:t>
      </w:r>
      <w:r>
        <w:rPr>
          <w:rFonts w:ascii="Bookman Old Style" w:hAnsi="Bookman Old Style"/>
          <w:szCs w:val="24"/>
        </w:rPr>
        <w:t>temporarily without a residence.  The claimant did not have his friend review his mail, she just set the mail aside for him.  The claimant returned from a period of work out of town and set up a new claim for benefits effective A</w:t>
      </w:r>
      <w:r w:rsidR="00735E13">
        <w:rPr>
          <w:rFonts w:ascii="Bookman Old Style" w:hAnsi="Bookman Old Style"/>
          <w:szCs w:val="24"/>
        </w:rPr>
        <w:t>pril 21</w:t>
      </w:r>
      <w:r>
        <w:rPr>
          <w:rFonts w:ascii="Bookman Old Style" w:hAnsi="Bookman Old Style"/>
          <w:szCs w:val="24"/>
        </w:rPr>
        <w:t xml:space="preserve">, 2019. </w:t>
      </w:r>
      <w:r w:rsidR="00735E13">
        <w:rPr>
          <w:rFonts w:ascii="Bookman Old Style" w:hAnsi="Bookman Old Style"/>
          <w:szCs w:val="24"/>
        </w:rPr>
        <w:t>The claimant was not advised of the dete</w:t>
      </w:r>
      <w:r w:rsidR="00F878F3">
        <w:rPr>
          <w:rFonts w:ascii="Bookman Old Style" w:hAnsi="Bookman Old Style"/>
          <w:szCs w:val="24"/>
        </w:rPr>
        <w:t xml:space="preserve">rmination mailed April 5, 2019, even though the penalty denial period </w:t>
      </w:r>
      <w:r w:rsidR="00FB2213">
        <w:rPr>
          <w:rFonts w:ascii="Bookman Old Style" w:hAnsi="Bookman Old Style"/>
          <w:szCs w:val="24"/>
        </w:rPr>
        <w:t xml:space="preserve">of the determination </w:t>
      </w:r>
      <w:r w:rsidR="00F878F3">
        <w:rPr>
          <w:rFonts w:ascii="Bookman Old Style" w:hAnsi="Bookman Old Style"/>
          <w:szCs w:val="24"/>
        </w:rPr>
        <w:t>would prevent the claimant from receiving benefits through March 28, 2020.</w:t>
      </w:r>
    </w:p>
    <w:p w:rsidR="00735E13" w:rsidRDefault="00735E13" w:rsidP="00304946">
      <w:pPr>
        <w:tabs>
          <w:tab w:val="left" w:pos="-1440"/>
          <w:tab w:val="left" w:pos="-720"/>
        </w:tabs>
        <w:rPr>
          <w:rFonts w:ascii="Bookman Old Style" w:hAnsi="Bookman Old Style"/>
          <w:szCs w:val="24"/>
        </w:rPr>
      </w:pPr>
    </w:p>
    <w:p w:rsidR="00E446EA" w:rsidRDefault="00F878F3" w:rsidP="00304946">
      <w:pPr>
        <w:tabs>
          <w:tab w:val="left" w:pos="-1440"/>
          <w:tab w:val="left" w:pos="-720"/>
        </w:tabs>
        <w:rPr>
          <w:rFonts w:ascii="Bookman Old Style" w:hAnsi="Bookman Old Style"/>
          <w:szCs w:val="24"/>
        </w:rPr>
      </w:pPr>
      <w:r>
        <w:rPr>
          <w:rFonts w:ascii="Bookman Old Style" w:hAnsi="Bookman Old Style"/>
          <w:szCs w:val="24"/>
        </w:rPr>
        <w:t>At that time, t</w:t>
      </w:r>
      <w:r w:rsidR="00E446EA">
        <w:rPr>
          <w:rFonts w:ascii="Bookman Old Style" w:hAnsi="Bookman Old Style"/>
          <w:szCs w:val="24"/>
        </w:rPr>
        <w:t xml:space="preserve">he claimant had not </w:t>
      </w:r>
      <w:r w:rsidR="004A60C5">
        <w:rPr>
          <w:rFonts w:ascii="Bookman Old Style" w:hAnsi="Bookman Old Style"/>
          <w:szCs w:val="24"/>
        </w:rPr>
        <w:t xml:space="preserve">yet </w:t>
      </w:r>
      <w:r w:rsidR="00E446EA">
        <w:rPr>
          <w:rFonts w:ascii="Bookman Old Style" w:hAnsi="Bookman Old Style"/>
          <w:szCs w:val="24"/>
        </w:rPr>
        <w:t xml:space="preserve">retrieved his mail from his friend’s house.  He </w:t>
      </w:r>
      <w:proofErr w:type="gramStart"/>
      <w:r w:rsidR="00E446EA">
        <w:rPr>
          <w:rFonts w:ascii="Bookman Old Style" w:hAnsi="Bookman Old Style"/>
          <w:szCs w:val="24"/>
        </w:rPr>
        <w:t>was</w:t>
      </w:r>
      <w:proofErr w:type="gramEnd"/>
      <w:r w:rsidR="00E446EA">
        <w:rPr>
          <w:rFonts w:ascii="Bookman Old Style" w:hAnsi="Bookman Old Style"/>
          <w:szCs w:val="24"/>
        </w:rPr>
        <w:t xml:space="preserve"> busy looking for a place to live and he had problems connecting with his friend to get his mail. When the claimant collected the</w:t>
      </w:r>
      <w:r w:rsidR="004A60C5">
        <w:rPr>
          <w:rFonts w:ascii="Bookman Old Style" w:hAnsi="Bookman Old Style"/>
          <w:szCs w:val="24"/>
        </w:rPr>
        <w:t xml:space="preserve"> bundle of</w:t>
      </w:r>
      <w:r w:rsidR="00E446EA">
        <w:rPr>
          <w:rFonts w:ascii="Bookman Old Style" w:hAnsi="Bookman Old Style"/>
          <w:szCs w:val="24"/>
        </w:rPr>
        <w:t xml:space="preserve"> mail, he waited a few days to open it, becaus</w:t>
      </w:r>
      <w:r>
        <w:rPr>
          <w:rFonts w:ascii="Bookman Old Style" w:hAnsi="Bookman Old Style"/>
          <w:szCs w:val="24"/>
        </w:rPr>
        <w:t>e he was not expecting any time-</w:t>
      </w:r>
      <w:r w:rsidR="00E446EA">
        <w:rPr>
          <w:rFonts w:ascii="Bookman Old Style" w:hAnsi="Bookman Old Style"/>
          <w:szCs w:val="24"/>
        </w:rPr>
        <w:t xml:space="preserve">sensitive mail. </w:t>
      </w:r>
    </w:p>
    <w:p w:rsidR="00E446EA" w:rsidRDefault="00E446EA" w:rsidP="00304946">
      <w:pPr>
        <w:tabs>
          <w:tab w:val="left" w:pos="-1440"/>
          <w:tab w:val="left" w:pos="-720"/>
        </w:tabs>
        <w:rPr>
          <w:rFonts w:ascii="Bookman Old Style" w:hAnsi="Bookman Old Style"/>
          <w:szCs w:val="24"/>
        </w:rPr>
      </w:pPr>
    </w:p>
    <w:p w:rsidR="0078796F" w:rsidRDefault="00E446EA" w:rsidP="00304946">
      <w:pPr>
        <w:tabs>
          <w:tab w:val="left" w:pos="-1440"/>
          <w:tab w:val="left" w:pos="-720"/>
        </w:tabs>
        <w:rPr>
          <w:rFonts w:ascii="Bookman Old Style" w:hAnsi="Bookman Old Style"/>
          <w:szCs w:val="24"/>
        </w:rPr>
      </w:pPr>
      <w:r>
        <w:rPr>
          <w:rFonts w:ascii="Bookman Old Style" w:hAnsi="Bookman Old Style"/>
          <w:szCs w:val="24"/>
        </w:rPr>
        <w:t>The claimant did not receive benefits from his new claim as expected, so he called the Division’s claim center</w:t>
      </w:r>
      <w:r w:rsidR="00FB2213">
        <w:rPr>
          <w:rFonts w:ascii="Bookman Old Style" w:hAnsi="Bookman Old Style"/>
          <w:szCs w:val="24"/>
        </w:rPr>
        <w:t xml:space="preserve"> on May 16, 2019</w:t>
      </w:r>
      <w:r>
        <w:rPr>
          <w:rFonts w:ascii="Bookman Old Style" w:hAnsi="Bookman Old Style"/>
          <w:szCs w:val="24"/>
        </w:rPr>
        <w:t xml:space="preserve"> and he was advised of the determination. The claimant filed his appeal at that time.  </w:t>
      </w:r>
      <w:r w:rsidR="00F878F3">
        <w:rPr>
          <w:rFonts w:ascii="Bookman Old Style" w:hAnsi="Bookman Old Style"/>
          <w:szCs w:val="24"/>
        </w:rPr>
        <w:t xml:space="preserve">He later found the determination in his mail. </w:t>
      </w:r>
    </w:p>
    <w:p w:rsidR="00E446EA" w:rsidRDefault="00E446EA" w:rsidP="00304946">
      <w:pPr>
        <w:tabs>
          <w:tab w:val="left" w:pos="-1440"/>
          <w:tab w:val="left" w:pos="-720"/>
        </w:tabs>
        <w:rPr>
          <w:rFonts w:ascii="Bookman Old Style" w:hAnsi="Bookman Old Style"/>
          <w:szCs w:val="24"/>
        </w:rPr>
      </w:pPr>
    </w:p>
    <w:p w:rsidR="00E446EA" w:rsidRPr="00304946" w:rsidRDefault="00E446EA" w:rsidP="00304946">
      <w:pPr>
        <w:tabs>
          <w:tab w:val="left" w:pos="-1440"/>
          <w:tab w:val="left" w:pos="-720"/>
        </w:tabs>
        <w:rPr>
          <w:rFonts w:ascii="Bookman Old Style" w:hAnsi="Bookman Old Style"/>
          <w:szCs w:val="24"/>
        </w:rPr>
      </w:pPr>
    </w:p>
    <w:p w:rsidR="0078796F" w:rsidRPr="00304946" w:rsidRDefault="0078796F" w:rsidP="00304946">
      <w:pPr>
        <w:pStyle w:val="Heading4"/>
        <w:jc w:val="center"/>
        <w:rPr>
          <w:rFonts w:ascii="Bookman Old Style" w:hAnsi="Bookman Old Style"/>
          <w:i w:val="0"/>
          <w:color w:val="auto"/>
          <w:szCs w:val="24"/>
        </w:rPr>
      </w:pPr>
      <w:r w:rsidRPr="00304946">
        <w:rPr>
          <w:rFonts w:ascii="Bookman Old Style" w:hAnsi="Bookman Old Style"/>
          <w:i w:val="0"/>
          <w:color w:val="auto"/>
          <w:szCs w:val="24"/>
        </w:rPr>
        <w:lastRenderedPageBreak/>
        <w:t>PROVISIONS OF LAW</w:t>
      </w:r>
    </w:p>
    <w:p w:rsidR="0078796F" w:rsidRPr="00304946" w:rsidRDefault="0078796F" w:rsidP="00304946">
      <w:pPr>
        <w:tabs>
          <w:tab w:val="left" w:pos="-1440"/>
          <w:tab w:val="left" w:pos="-720"/>
        </w:tabs>
        <w:rPr>
          <w:rFonts w:ascii="Bookman Old Style" w:hAnsi="Bookman Old Style"/>
          <w:szCs w:val="24"/>
        </w:rPr>
      </w:pPr>
    </w:p>
    <w:p w:rsidR="0078796F" w:rsidRPr="00304946" w:rsidRDefault="0078796F" w:rsidP="00304946">
      <w:pPr>
        <w:suppressAutoHyphens/>
        <w:rPr>
          <w:rFonts w:ascii="Bookman Old Style" w:hAnsi="Bookman Old Style"/>
          <w:b/>
          <w:spacing w:val="-3"/>
          <w:szCs w:val="24"/>
        </w:rPr>
      </w:pPr>
      <w:r w:rsidRPr="00304946">
        <w:rPr>
          <w:rFonts w:ascii="Bookman Old Style" w:hAnsi="Bookman Old Style"/>
          <w:b/>
          <w:spacing w:val="-3"/>
          <w:szCs w:val="24"/>
        </w:rPr>
        <w:t xml:space="preserve">AS 23.20.340 provides in part;  </w:t>
      </w:r>
    </w:p>
    <w:p w:rsidR="0078796F" w:rsidRPr="00304946" w:rsidRDefault="0078796F" w:rsidP="00304946">
      <w:pPr>
        <w:suppressAutoHyphens/>
        <w:rPr>
          <w:rFonts w:ascii="Bookman Old Style" w:hAnsi="Bookman Old Style"/>
          <w:spacing w:val="-3"/>
          <w:szCs w:val="24"/>
        </w:rPr>
      </w:pPr>
    </w:p>
    <w:p w:rsidR="0078796F" w:rsidRPr="00304946" w:rsidRDefault="00C6551F"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 xml:space="preserve"> </w:t>
      </w:r>
      <w:r w:rsidR="0078796F" w:rsidRPr="00304946">
        <w:rPr>
          <w:rFonts w:ascii="Bookman Old Style" w:hAnsi="Bookman Old Style"/>
          <w:spacing w:val="-3"/>
          <w:szCs w:val="24"/>
        </w:rPr>
        <w:t>(e)</w:t>
      </w:r>
      <w:r w:rsidR="0078796F" w:rsidRPr="00304946">
        <w:rPr>
          <w:rFonts w:ascii="Bookman Old Style" w:hAnsi="Bookman Old Style"/>
          <w:spacing w:val="-3"/>
          <w:szCs w:val="24"/>
        </w:rPr>
        <w:tab/>
        <w:t>The claimant may file an appeal from an initial determination or a redetermination under (b) of this section not later than 30 days after the claimant is notified in person of the determination or redetermination or not later than 30 days after the date the determination or redetermination is mailed to the claimant's last address of record. The period for filing an appeal may be extended for a reasonable period if the claimant shows that the application was delayed as a result of circumstances beyond the claimant's control.</w:t>
      </w:r>
    </w:p>
    <w:p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p>
    <w:p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(f)</w:t>
      </w:r>
      <w:r w:rsidRPr="00304946">
        <w:rPr>
          <w:rFonts w:ascii="Bookman Old Style" w:hAnsi="Bookman Old Style"/>
          <w:spacing w:val="-3"/>
          <w:szCs w:val="24"/>
        </w:rPr>
        <w:tab/>
        <w:t xml:space="preserve">If a determination of disqualification under AS 23.20.360, 23.20.362, 23.20.375, 23.20.378 </w:t>
      </w:r>
      <w:r w:rsidRPr="00304946">
        <w:rPr>
          <w:rFonts w:ascii="Bookman Old Style" w:hAnsi="Bookman Old Style"/>
          <w:spacing w:val="-3"/>
          <w:szCs w:val="24"/>
        </w:rPr>
        <w:noBreakHyphen/>
        <w:t xml:space="preserve"> 23.20.387, or 23.20.505 is made, the claimant shall be promptly notified of the determination and the reasons for it. The claimant and other interested parties as defined by regulations of the department may appeal the determination in the same manner prescribed in this chapter for appeals of initial determinations and redeterminations. Benefits may not be paid while a determination is being appealed for any week for which the determination of disqualification was made. However, if a decision on the appeal allows benefits to the claimant, those benefits must be paid promptly.</w:t>
      </w:r>
    </w:p>
    <w:p w:rsidR="0078796F" w:rsidRPr="00304946" w:rsidRDefault="0078796F" w:rsidP="00304946">
      <w:pPr>
        <w:tabs>
          <w:tab w:val="left" w:pos="-720"/>
        </w:tabs>
        <w:suppressAutoHyphens/>
        <w:rPr>
          <w:rFonts w:ascii="Bookman Old Style" w:hAnsi="Bookman Old Style"/>
          <w:spacing w:val="-3"/>
          <w:szCs w:val="24"/>
        </w:rPr>
      </w:pPr>
    </w:p>
    <w:p w:rsidR="0078796F" w:rsidRPr="00304946" w:rsidRDefault="0078796F" w:rsidP="00304946">
      <w:pPr>
        <w:tabs>
          <w:tab w:val="left" w:pos="-720"/>
        </w:tabs>
        <w:suppressAutoHyphens/>
        <w:rPr>
          <w:rFonts w:ascii="Bookman Old Style" w:hAnsi="Bookman Old Style"/>
          <w:b/>
          <w:spacing w:val="-3"/>
          <w:szCs w:val="24"/>
        </w:rPr>
      </w:pPr>
      <w:r w:rsidRPr="00304946">
        <w:rPr>
          <w:rFonts w:ascii="Bookman Old Style" w:hAnsi="Bookman Old Style"/>
          <w:b/>
          <w:spacing w:val="-3"/>
          <w:szCs w:val="24"/>
        </w:rPr>
        <w:t xml:space="preserve">8 AAC 85.151 provides in part;  </w:t>
      </w:r>
    </w:p>
    <w:p w:rsidR="0078796F" w:rsidRPr="00304946" w:rsidRDefault="0078796F" w:rsidP="00304946">
      <w:pPr>
        <w:tabs>
          <w:tab w:val="left" w:pos="-720"/>
          <w:tab w:val="left" w:pos="1440"/>
        </w:tabs>
        <w:suppressAutoHyphens/>
        <w:ind w:left="1440" w:hanging="720"/>
        <w:rPr>
          <w:rFonts w:ascii="Bookman Old Style" w:hAnsi="Bookman Old Style"/>
          <w:b/>
          <w:spacing w:val="-3"/>
          <w:szCs w:val="24"/>
        </w:rPr>
      </w:pPr>
    </w:p>
    <w:p w:rsidR="0078796F" w:rsidRDefault="0078796F" w:rsidP="00304946">
      <w:pPr>
        <w:pStyle w:val="BodyTextIndent"/>
        <w:widowControl/>
        <w:numPr>
          <w:ilvl w:val="0"/>
          <w:numId w:val="2"/>
        </w:numPr>
        <w:tabs>
          <w:tab w:val="clear" w:pos="720"/>
          <w:tab w:val="clear" w:pos="5587"/>
          <w:tab w:val="left" w:pos="-720"/>
        </w:tabs>
        <w:rPr>
          <w:rFonts w:ascii="Bookman Old Style" w:hAnsi="Bookman Old Style"/>
          <w:szCs w:val="24"/>
        </w:rPr>
      </w:pPr>
      <w:r w:rsidRPr="00304946">
        <w:rPr>
          <w:rFonts w:ascii="Bookman Old Style" w:hAnsi="Bookman Old Style"/>
          <w:szCs w:val="24"/>
        </w:rPr>
        <w:t>An appeal may be filed with a referee, at any employment center, or at the central office of the division and, if filed in person, must be made on forms provided by the division. An appeal must be filed within 30 days after the determination or redetermination is personally delivered to the claimant or not later than 30 days after the date the determination or redetermination is mailed to the claimant’s last address of record. The 30-day time period will be computed under Rule 6 of the Rules of Civil Procedure. However, the 30-day period may be extended for a reasonable time if the claimant shows that the failure to file within this period was the result of circumstances beyond his or her control.</w:t>
      </w:r>
    </w:p>
    <w:p w:rsidR="00735E13" w:rsidRPr="00304946" w:rsidRDefault="00735E13" w:rsidP="00304946">
      <w:pPr>
        <w:pStyle w:val="BodyTextIndent"/>
        <w:widowControl/>
        <w:numPr>
          <w:ilvl w:val="0"/>
          <w:numId w:val="2"/>
        </w:numPr>
        <w:tabs>
          <w:tab w:val="clear" w:pos="720"/>
          <w:tab w:val="clear" w:pos="5587"/>
          <w:tab w:val="left" w:pos="-720"/>
        </w:tabs>
        <w:rPr>
          <w:rFonts w:ascii="Bookman Old Style" w:hAnsi="Bookman Old Style"/>
          <w:szCs w:val="24"/>
        </w:rPr>
      </w:pPr>
    </w:p>
    <w:p w:rsidR="0078796F" w:rsidRPr="00C6551F" w:rsidRDefault="0078796F" w:rsidP="00304946">
      <w:pPr>
        <w:pStyle w:val="Heading4"/>
        <w:jc w:val="center"/>
        <w:rPr>
          <w:rFonts w:ascii="Bookman Old Style" w:hAnsi="Bookman Old Style"/>
          <w:i w:val="0"/>
          <w:color w:val="auto"/>
          <w:szCs w:val="24"/>
        </w:rPr>
      </w:pPr>
      <w:r w:rsidRPr="00C6551F">
        <w:rPr>
          <w:rFonts w:ascii="Bookman Old Style" w:hAnsi="Bookman Old Style"/>
          <w:i w:val="0"/>
          <w:color w:val="auto"/>
          <w:szCs w:val="24"/>
        </w:rPr>
        <w:t>CONCLUSION</w:t>
      </w:r>
    </w:p>
    <w:p w:rsidR="0078796F" w:rsidRPr="00C6551F" w:rsidRDefault="0078796F" w:rsidP="00304946">
      <w:pPr>
        <w:tabs>
          <w:tab w:val="left" w:pos="-1440"/>
          <w:tab w:val="left" w:pos="-720"/>
        </w:tabs>
        <w:rPr>
          <w:rFonts w:ascii="Bookman Old Style" w:hAnsi="Bookman Old Style"/>
          <w:szCs w:val="24"/>
        </w:rPr>
      </w:pPr>
    </w:p>
    <w:p w:rsidR="0078796F" w:rsidRPr="00304946"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An appellant has the burden to establish some circumstance beyond the appellant’s control prevented the timely filing of the appeal. </w:t>
      </w:r>
    </w:p>
    <w:p w:rsidR="0078796F" w:rsidRPr="00735E13" w:rsidRDefault="0078796F" w:rsidP="00F878F3">
      <w:pPr>
        <w:tabs>
          <w:tab w:val="left" w:pos="1440"/>
          <w:tab w:val="left" w:pos="2160"/>
          <w:tab w:val="left" w:pos="5586"/>
          <w:tab w:val="left" w:pos="5760"/>
        </w:tabs>
        <w:suppressAutoHyphens/>
        <w:rPr>
          <w:rFonts w:ascii="Bookman Old Style" w:hAnsi="Bookman Old Style"/>
          <w:i/>
          <w:spacing w:val="-3"/>
          <w:szCs w:val="24"/>
        </w:rPr>
      </w:pPr>
    </w:p>
    <w:p w:rsidR="0078796F" w:rsidRDefault="0078796F" w:rsidP="00735E13">
      <w:pPr>
        <w:suppressAutoHyphens/>
        <w:ind w:left="720"/>
        <w:rPr>
          <w:rFonts w:ascii="Bookman Old Style" w:hAnsi="Bookman Old Style"/>
          <w:i/>
          <w:spacing w:val="-3"/>
          <w:szCs w:val="24"/>
        </w:rPr>
      </w:pPr>
      <w:r w:rsidRPr="00735E13">
        <w:rPr>
          <w:rFonts w:ascii="Bookman Old Style" w:hAnsi="Bookman Old Style"/>
          <w:i/>
          <w:spacing w:val="-3"/>
          <w:szCs w:val="24"/>
        </w:rPr>
        <w:t xml:space="preserve">It is clear from </w:t>
      </w:r>
      <w:r w:rsidRPr="00735E13">
        <w:rPr>
          <w:rFonts w:ascii="Bookman Old Style" w:hAnsi="Bookman Old Style"/>
          <w:i/>
          <w:spacing w:val="-3"/>
          <w:szCs w:val="24"/>
          <w:u w:val="single"/>
        </w:rPr>
        <w:t>Estes v. Department of Labor</w:t>
      </w:r>
      <w:r w:rsidRPr="00735E13">
        <w:rPr>
          <w:rFonts w:ascii="Bookman Old Style" w:hAnsi="Bookman Old Style"/>
          <w:i/>
          <w:spacing w:val="-3"/>
          <w:szCs w:val="24"/>
        </w:rPr>
        <w:t xml:space="preserve">, 625 P.2d 293 (Alaska 1981) that a late claimant must show some quantum of cause; implicit is the requirement that the claimant's delay be caused by some incapacity, be it youth, illness, limited education, delay by the post office, or excusable misunderstanding, at the very least, and that the state suffer no prejudice. If the delay is short, the claimant need </w:t>
      </w:r>
      <w:r w:rsidRPr="00735E13">
        <w:rPr>
          <w:rFonts w:ascii="Bookman Old Style" w:hAnsi="Bookman Old Style"/>
          <w:i/>
          <w:spacing w:val="-3"/>
          <w:szCs w:val="24"/>
        </w:rPr>
        <w:lastRenderedPageBreak/>
        <w:t xml:space="preserve">show only some cause; for longer delays, more cause must be shown. </w:t>
      </w:r>
      <w:proofErr w:type="spellStart"/>
      <w:r w:rsidRPr="00735E13">
        <w:rPr>
          <w:rFonts w:ascii="Bookman Old Style" w:hAnsi="Bookman Old Style"/>
          <w:i/>
          <w:spacing w:val="-3"/>
          <w:szCs w:val="24"/>
          <w:u w:val="single"/>
        </w:rPr>
        <w:t>Borton</w:t>
      </w:r>
      <w:proofErr w:type="spellEnd"/>
      <w:r w:rsidRPr="00735E13">
        <w:rPr>
          <w:rFonts w:ascii="Bookman Old Style" w:hAnsi="Bookman Old Style"/>
          <w:i/>
          <w:spacing w:val="-3"/>
          <w:szCs w:val="24"/>
          <w:u w:val="single"/>
        </w:rPr>
        <w:t xml:space="preserve"> v. Emp. Sec. Div.</w:t>
      </w:r>
      <w:r w:rsidRPr="00735E13">
        <w:rPr>
          <w:rFonts w:ascii="Bookman Old Style" w:hAnsi="Bookman Old Style"/>
          <w:i/>
          <w:spacing w:val="-3"/>
          <w:szCs w:val="24"/>
        </w:rPr>
        <w:t>, Super. Ct., 1KE-84-620 CI, (Alaska, October 10, 1985).</w:t>
      </w:r>
    </w:p>
    <w:p w:rsidR="00F878F3" w:rsidRDefault="00F878F3" w:rsidP="00735E13">
      <w:pPr>
        <w:suppressAutoHyphens/>
        <w:ind w:left="720"/>
        <w:rPr>
          <w:rFonts w:ascii="Bookman Old Style" w:hAnsi="Bookman Old Style"/>
          <w:i/>
          <w:spacing w:val="-3"/>
          <w:szCs w:val="24"/>
        </w:rPr>
      </w:pPr>
    </w:p>
    <w:p w:rsidR="00F878F3" w:rsidRPr="00743F98" w:rsidRDefault="00F878F3" w:rsidP="00F878F3">
      <w:pPr>
        <w:ind w:left="720"/>
        <w:rPr>
          <w:rFonts w:ascii="Bookman Old Style" w:hAnsi="Bookman Old Style"/>
          <w:szCs w:val="24"/>
        </w:rPr>
      </w:pPr>
      <w:r w:rsidRPr="00743F98">
        <w:rPr>
          <w:rFonts w:ascii="Bookman Old Style" w:hAnsi="Bookman Old Style"/>
          <w:i/>
          <w:szCs w:val="24"/>
        </w:rPr>
        <w:t xml:space="preserve">When a claimant approaches an unemployment insurance representative for instructions, it is the responsibility of that representative to provide complete and accurate information regarding the claimant’s request. </w:t>
      </w:r>
      <w:r w:rsidRPr="00743F98">
        <w:rPr>
          <w:rFonts w:ascii="Bookman Old Style" w:hAnsi="Bookman Old Style"/>
          <w:szCs w:val="24"/>
          <w:u w:val="single"/>
        </w:rPr>
        <w:t>Murphy</w:t>
      </w:r>
      <w:r>
        <w:rPr>
          <w:rFonts w:ascii="Bookman Old Style" w:hAnsi="Bookman Old Style"/>
          <w:szCs w:val="24"/>
        </w:rPr>
        <w:t>, Co</w:t>
      </w:r>
      <w:r w:rsidRPr="00743F98">
        <w:rPr>
          <w:rFonts w:ascii="Bookman Old Style" w:hAnsi="Bookman Old Style"/>
          <w:szCs w:val="24"/>
        </w:rPr>
        <w:t>m. Dec. No 87H-UI-283, September 29, 1987.</w:t>
      </w:r>
    </w:p>
    <w:p w:rsidR="0078796F" w:rsidRPr="00735E13" w:rsidRDefault="0078796F" w:rsidP="00F878F3">
      <w:pPr>
        <w:tabs>
          <w:tab w:val="left" w:pos="-720"/>
          <w:tab w:val="left" w:pos="1440"/>
        </w:tabs>
        <w:suppressAutoHyphens/>
        <w:rPr>
          <w:rFonts w:ascii="Bookman Old Style" w:hAnsi="Bookman Old Style"/>
          <w:i/>
          <w:spacing w:val="-3"/>
          <w:szCs w:val="24"/>
        </w:rPr>
      </w:pPr>
    </w:p>
    <w:p w:rsidR="0078796F" w:rsidRDefault="00735E13" w:rsidP="00304946">
      <w:pPr>
        <w:tabs>
          <w:tab w:val="left" w:pos="-1440"/>
          <w:tab w:val="left" w:pos="-720"/>
        </w:tabs>
        <w:rPr>
          <w:rFonts w:ascii="Bookman Old Style" w:hAnsi="Bookman Old Style"/>
          <w:szCs w:val="24"/>
        </w:rPr>
      </w:pPr>
      <w:r>
        <w:rPr>
          <w:rFonts w:ascii="Bookman Old Style" w:hAnsi="Bookman Old Style"/>
          <w:szCs w:val="24"/>
        </w:rPr>
        <w:t xml:space="preserve">The Division </w:t>
      </w:r>
      <w:r w:rsidR="00F878F3">
        <w:rPr>
          <w:rFonts w:ascii="Bookman Old Style" w:hAnsi="Bookman Old Style"/>
          <w:szCs w:val="24"/>
        </w:rPr>
        <w:t>mailed</w:t>
      </w:r>
      <w:r>
        <w:rPr>
          <w:rFonts w:ascii="Bookman Old Style" w:hAnsi="Bookman Old Style"/>
          <w:szCs w:val="24"/>
        </w:rPr>
        <w:t xml:space="preserve"> the no</w:t>
      </w:r>
      <w:r w:rsidR="00C92AE4">
        <w:rPr>
          <w:rFonts w:ascii="Bookman Old Style" w:hAnsi="Bookman Old Style"/>
          <w:szCs w:val="24"/>
        </w:rPr>
        <w:t xml:space="preserve">tice to </w:t>
      </w:r>
      <w:r w:rsidR="00F878F3">
        <w:rPr>
          <w:rFonts w:ascii="Bookman Old Style" w:hAnsi="Bookman Old Style"/>
          <w:szCs w:val="24"/>
        </w:rPr>
        <w:t>the claimant’s</w:t>
      </w:r>
      <w:r w:rsidR="00C92AE4">
        <w:rPr>
          <w:rFonts w:ascii="Bookman Old Style" w:hAnsi="Bookman Old Style"/>
          <w:szCs w:val="24"/>
        </w:rPr>
        <w:t xml:space="preserve"> address of record</w:t>
      </w:r>
      <w:r w:rsidR="00F878F3">
        <w:rPr>
          <w:rFonts w:ascii="Bookman Old Style" w:hAnsi="Bookman Old Style"/>
          <w:szCs w:val="24"/>
        </w:rPr>
        <w:t xml:space="preserve"> and it was within the claimant’s control to have retrieved and reviewed his mail within the appeal period. H</w:t>
      </w:r>
      <w:r w:rsidR="00C92AE4">
        <w:rPr>
          <w:rFonts w:ascii="Bookman Old Style" w:hAnsi="Bookman Old Style"/>
          <w:szCs w:val="24"/>
        </w:rPr>
        <w:t xml:space="preserve">owever, the claimant spoke with a claim center representative during the 30-day day appeal period and he was not advised that there was a matter pending that would affect the </w:t>
      </w:r>
      <w:r w:rsidR="00FB2213">
        <w:rPr>
          <w:rFonts w:ascii="Bookman Old Style" w:hAnsi="Bookman Old Style"/>
          <w:szCs w:val="24"/>
        </w:rPr>
        <w:t>future benefits for which he was applying</w:t>
      </w:r>
      <w:r w:rsidR="00C92AE4">
        <w:rPr>
          <w:rFonts w:ascii="Bookman Old Style" w:hAnsi="Bookman Old Style"/>
          <w:szCs w:val="24"/>
        </w:rPr>
        <w:t xml:space="preserve">.  </w:t>
      </w:r>
    </w:p>
    <w:p w:rsidR="00F878F3" w:rsidRDefault="00F878F3" w:rsidP="00304946">
      <w:pPr>
        <w:tabs>
          <w:tab w:val="left" w:pos="-1440"/>
          <w:tab w:val="left" w:pos="-720"/>
        </w:tabs>
        <w:rPr>
          <w:rFonts w:ascii="Bookman Old Style" w:hAnsi="Bookman Old Style"/>
          <w:szCs w:val="24"/>
        </w:rPr>
      </w:pPr>
    </w:p>
    <w:p w:rsidR="00F878F3" w:rsidRPr="00304946" w:rsidRDefault="00F878F3" w:rsidP="00304946">
      <w:pPr>
        <w:tabs>
          <w:tab w:val="left" w:pos="-1440"/>
          <w:tab w:val="left" w:pos="-720"/>
        </w:tabs>
        <w:rPr>
          <w:rFonts w:ascii="Bookman Old Style" w:hAnsi="Bookman Old Style"/>
          <w:szCs w:val="24"/>
        </w:rPr>
      </w:pPr>
      <w:r>
        <w:rPr>
          <w:rFonts w:ascii="Bookman Old Style" w:hAnsi="Bookman Old Style"/>
          <w:szCs w:val="24"/>
        </w:rPr>
        <w:t xml:space="preserve">The Tribunal finds </w:t>
      </w:r>
      <w:r w:rsidR="00FB2213">
        <w:rPr>
          <w:rFonts w:ascii="Bookman Old Style" w:hAnsi="Bookman Old Style"/>
          <w:szCs w:val="24"/>
        </w:rPr>
        <w:t xml:space="preserve">that </w:t>
      </w:r>
      <w:r>
        <w:rPr>
          <w:rFonts w:ascii="Bookman Old Style" w:hAnsi="Bookman Old Style"/>
          <w:szCs w:val="24"/>
        </w:rPr>
        <w:t xml:space="preserve">the Division’s obligation to notify the claimant of the determination </w:t>
      </w:r>
      <w:r w:rsidR="00FB2213">
        <w:rPr>
          <w:rFonts w:ascii="Bookman Old Style" w:hAnsi="Bookman Old Style"/>
          <w:szCs w:val="24"/>
        </w:rPr>
        <w:t xml:space="preserve">and its effect on his new claim for benefits </w:t>
      </w:r>
      <w:r>
        <w:rPr>
          <w:rFonts w:ascii="Bookman Old Style" w:hAnsi="Bookman Old Style"/>
          <w:szCs w:val="24"/>
        </w:rPr>
        <w:t xml:space="preserve">overrides the claimant’s responsibility to read his mail. In applying </w:t>
      </w:r>
      <w:r w:rsidRPr="00F878F3">
        <w:rPr>
          <w:rFonts w:ascii="Bookman Old Style" w:hAnsi="Bookman Old Style"/>
          <w:szCs w:val="24"/>
          <w:u w:val="single"/>
        </w:rPr>
        <w:t>Estes</w:t>
      </w:r>
      <w:r>
        <w:rPr>
          <w:rFonts w:ascii="Bookman Old Style" w:hAnsi="Bookman Old Style"/>
          <w:szCs w:val="24"/>
        </w:rPr>
        <w:t xml:space="preserve"> and </w:t>
      </w:r>
      <w:r w:rsidRPr="00F878F3">
        <w:rPr>
          <w:rFonts w:ascii="Bookman Old Style" w:hAnsi="Bookman Old Style"/>
          <w:szCs w:val="24"/>
          <w:u w:val="single"/>
        </w:rPr>
        <w:t>Murphy</w:t>
      </w:r>
      <w:r>
        <w:rPr>
          <w:rFonts w:ascii="Bookman Old Style" w:hAnsi="Bookman Old Style"/>
          <w:szCs w:val="24"/>
        </w:rPr>
        <w:t xml:space="preserve">, the Tribunal finds the claimant’s appeal may be accepted as timely filed.  </w:t>
      </w:r>
    </w:p>
    <w:p w:rsidR="0078796F" w:rsidRPr="009B2AC0" w:rsidRDefault="0078796F" w:rsidP="00304946">
      <w:pPr>
        <w:pStyle w:val="Heading4"/>
        <w:jc w:val="center"/>
        <w:rPr>
          <w:rFonts w:ascii="Bookman Old Style" w:hAnsi="Bookman Old Style"/>
          <w:i w:val="0"/>
          <w:color w:val="auto"/>
          <w:szCs w:val="24"/>
        </w:rPr>
      </w:pPr>
      <w:r w:rsidRPr="009B2AC0">
        <w:rPr>
          <w:rFonts w:ascii="Bookman Old Style" w:hAnsi="Bookman Old Style"/>
          <w:i w:val="0"/>
          <w:color w:val="auto"/>
          <w:szCs w:val="24"/>
        </w:rPr>
        <w:t>DECISION</w:t>
      </w:r>
    </w:p>
    <w:p w:rsidR="0078796F" w:rsidRPr="00304946" w:rsidRDefault="0078796F" w:rsidP="00304946">
      <w:pPr>
        <w:tabs>
          <w:tab w:val="left" w:pos="-1440"/>
          <w:tab w:val="left" w:pos="-720"/>
        </w:tabs>
        <w:rPr>
          <w:rFonts w:ascii="Bookman Old Style" w:hAnsi="Bookman Old Style"/>
          <w:szCs w:val="24"/>
        </w:rPr>
      </w:pPr>
    </w:p>
    <w:p w:rsidR="0078796F" w:rsidRPr="00304946" w:rsidRDefault="000E7714" w:rsidP="00304946">
      <w:pPr>
        <w:tabs>
          <w:tab w:val="left" w:pos="-720"/>
          <w:tab w:val="left" w:pos="1440"/>
        </w:tabs>
        <w:suppressAutoHyphens/>
        <w:rPr>
          <w:rFonts w:ascii="Bookman Old Style" w:hAnsi="Bookman Old Style"/>
          <w:spacing w:val="-3"/>
          <w:szCs w:val="24"/>
        </w:rPr>
      </w:pPr>
      <w:r w:rsidRPr="00304946">
        <w:rPr>
          <w:rFonts w:ascii="Bookman Old Style" w:hAnsi="Bookman Old Style"/>
          <w:spacing w:val="-3"/>
          <w:szCs w:val="24"/>
        </w:rPr>
        <w:t xml:space="preserve">The </w:t>
      </w:r>
      <w:r w:rsidR="00FB2213">
        <w:rPr>
          <w:rFonts w:ascii="Bookman Old Style" w:hAnsi="Bookman Old Style"/>
          <w:szCs w:val="24"/>
        </w:rPr>
        <w:t>claimant’s</w:t>
      </w:r>
      <w:r w:rsidRPr="00304946">
        <w:rPr>
          <w:rFonts w:ascii="Bookman Old Style" w:hAnsi="Bookman Old Style"/>
          <w:szCs w:val="24"/>
        </w:rPr>
        <w:t xml:space="preserve"> </w:t>
      </w:r>
      <w:r w:rsidR="0078796F" w:rsidRPr="00304946">
        <w:rPr>
          <w:rFonts w:ascii="Bookman Old Style" w:hAnsi="Bookman Old Style"/>
          <w:spacing w:val="-3"/>
          <w:szCs w:val="24"/>
        </w:rPr>
        <w:t xml:space="preserve">appeal from the notice of determination issued on </w:t>
      </w:r>
      <w:r w:rsidR="00FB2213">
        <w:rPr>
          <w:rFonts w:ascii="Bookman Old Style" w:hAnsi="Bookman Old Style"/>
          <w:spacing w:val="-3"/>
          <w:szCs w:val="24"/>
        </w:rPr>
        <w:t>April 4, 2019</w:t>
      </w:r>
      <w:r w:rsidR="0078796F" w:rsidRPr="00304946">
        <w:rPr>
          <w:rFonts w:ascii="Bookman Old Style" w:hAnsi="Bookman Old Style"/>
          <w:spacing w:val="-3"/>
          <w:szCs w:val="24"/>
        </w:rPr>
        <w:t xml:space="preserve"> is </w:t>
      </w:r>
      <w:r w:rsidRPr="00304946">
        <w:rPr>
          <w:rFonts w:ascii="Bookman Old Style" w:hAnsi="Bookman Old Style"/>
          <w:b/>
          <w:spacing w:val="-3"/>
          <w:szCs w:val="24"/>
        </w:rPr>
        <w:t xml:space="preserve">ACCEPTED </w:t>
      </w:r>
      <w:r w:rsidRPr="00304946">
        <w:rPr>
          <w:rFonts w:ascii="Bookman Old Style" w:hAnsi="Bookman Old Style"/>
          <w:spacing w:val="-3"/>
          <w:szCs w:val="24"/>
        </w:rPr>
        <w:t>as timely filed.</w:t>
      </w:r>
      <w:r w:rsidR="00FB2213">
        <w:rPr>
          <w:rFonts w:ascii="Bookman Old Style" w:hAnsi="Bookman Old Style"/>
          <w:spacing w:val="-3"/>
          <w:szCs w:val="24"/>
        </w:rPr>
        <w:t xml:space="preserve"> A new hearing notice will be follow and the parties are required to follow instructions on the notice to participate in the continued hearing.  </w:t>
      </w:r>
    </w:p>
    <w:p w:rsidR="00780095" w:rsidRPr="00304946" w:rsidRDefault="00780095" w:rsidP="00304946">
      <w:pPr>
        <w:pStyle w:val="Heading2"/>
        <w:widowControl/>
        <w:ind w:right="0"/>
        <w:rPr>
          <w:rFonts w:ascii="Bookman Old Style" w:hAnsi="Bookman Old Style"/>
          <w:szCs w:val="24"/>
        </w:rPr>
      </w:pPr>
    </w:p>
    <w:p w:rsidR="0046604B" w:rsidRPr="009B2AC0" w:rsidRDefault="0046604B" w:rsidP="00304946">
      <w:pPr>
        <w:pStyle w:val="Heading4"/>
        <w:jc w:val="center"/>
        <w:rPr>
          <w:rFonts w:ascii="Bookman Old Style" w:hAnsi="Bookman Old Style"/>
          <w:i w:val="0"/>
          <w:color w:val="auto"/>
          <w:szCs w:val="24"/>
        </w:rPr>
      </w:pPr>
      <w:r w:rsidRPr="009B2AC0">
        <w:rPr>
          <w:rFonts w:ascii="Bookman Old Style" w:hAnsi="Bookman Old Style"/>
          <w:i w:val="0"/>
          <w:color w:val="auto"/>
          <w:szCs w:val="24"/>
        </w:rPr>
        <w:t>APPEAL RIGHTS</w:t>
      </w:r>
    </w:p>
    <w:p w:rsidR="0046604B" w:rsidRPr="009B2AC0"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This decision is final unless an appeal is filed to the Commissioner of Labor and Workforce Development within </w:t>
      </w:r>
      <w:r w:rsidRPr="00304946">
        <w:rPr>
          <w:rFonts w:ascii="Bookman Old Style" w:hAnsi="Bookman Old Style"/>
          <w:b/>
          <w:szCs w:val="24"/>
          <w:u w:val="single"/>
        </w:rPr>
        <w:t>30 days</w:t>
      </w:r>
      <w:r w:rsidRPr="00304946">
        <w:rPr>
          <w:rFonts w:ascii="Bookman Old Style" w:hAnsi="Bookman Old Style"/>
          <w:szCs w:val="24"/>
        </w:rPr>
        <w:t xml:space="preserve"> after the decision is mailed to each party. The appeal period may be extended only if the appeal is delayed for circumstances beyond the party's control. A statement of appeal rights and procedures is enclosed.</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5E53D0" w:rsidP="00304946">
      <w:pPr>
        <w:tabs>
          <w:tab w:val="left" w:pos="-1440"/>
          <w:tab w:val="left" w:pos="-720"/>
        </w:tabs>
        <w:rPr>
          <w:rFonts w:ascii="Bookman Old Style" w:hAnsi="Bookman Old Style"/>
          <w:szCs w:val="24"/>
        </w:rPr>
      </w:pPr>
      <w:r w:rsidRPr="00304946">
        <w:rPr>
          <w:rFonts w:ascii="Bookman Old Style" w:hAnsi="Bookman Old Style"/>
          <w:szCs w:val="24"/>
        </w:rPr>
        <w:t>Dated and m</w:t>
      </w:r>
      <w:r w:rsidR="0046604B" w:rsidRPr="00304946">
        <w:rPr>
          <w:rFonts w:ascii="Bookman Old Style" w:hAnsi="Bookman Old Style"/>
          <w:szCs w:val="24"/>
        </w:rPr>
        <w:t xml:space="preserve">ailed on </w:t>
      </w:r>
      <w:r w:rsidR="00FB2213">
        <w:rPr>
          <w:rFonts w:ascii="Bookman Old Style" w:hAnsi="Bookman Old Style"/>
          <w:szCs w:val="24"/>
        </w:rPr>
        <w:t>August 5, 2019</w:t>
      </w:r>
      <w:r w:rsidR="0046604B" w:rsidRPr="00304946">
        <w:rPr>
          <w:rFonts w:ascii="Bookman Old Style" w:hAnsi="Bookman Old Style"/>
          <w:szCs w:val="24"/>
        </w:rPr>
        <w:t>.</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t xml:space="preserve">      </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              </w:t>
      </w:r>
      <w:r w:rsidRPr="00304946">
        <w:rPr>
          <w:rFonts w:ascii="Bookman Old Style" w:hAnsi="Bookman Old Style"/>
          <w:szCs w:val="24"/>
        </w:rPr>
        <w:tab/>
        <w:t xml:space="preserve">                                           </w:t>
      </w:r>
      <w:r w:rsidR="00FB2213">
        <w:rPr>
          <w:rFonts w:ascii="Bookman Old Style" w:hAnsi="Bookman Old Style"/>
          <w:szCs w:val="24"/>
        </w:rPr>
        <w:t>Rhonda Buness</w:t>
      </w:r>
      <w:r w:rsidRPr="00304946">
        <w:rPr>
          <w:rFonts w:ascii="Bookman Old Style" w:hAnsi="Bookman Old Style"/>
          <w:szCs w:val="24"/>
        </w:rPr>
        <w:t xml:space="preserve">, </w:t>
      </w:r>
      <w:r w:rsidR="00DB2E7D">
        <w:rPr>
          <w:rFonts w:ascii="Bookman Old Style" w:hAnsi="Bookman Old Style"/>
          <w:szCs w:val="24"/>
        </w:rPr>
        <w:t>Appeals</w:t>
      </w:r>
      <w:r w:rsidRPr="00304946">
        <w:rPr>
          <w:rFonts w:ascii="Bookman Old Style" w:hAnsi="Bookman Old Style"/>
          <w:szCs w:val="24"/>
        </w:rPr>
        <w:t xml:space="preserve"> Officer</w:t>
      </w:r>
    </w:p>
    <w:p w:rsidR="00780095" w:rsidRPr="0046604B" w:rsidRDefault="00780095" w:rsidP="0046604B">
      <w:pPr>
        <w:tabs>
          <w:tab w:val="left" w:pos="-1440"/>
          <w:tab w:val="left" w:pos="-720"/>
        </w:tabs>
        <w:suppressAutoHyphens/>
        <w:rPr>
          <w:rFonts w:ascii="Bookman Old Style" w:hAnsi="Bookman Old Style"/>
          <w:szCs w:val="24"/>
        </w:rPr>
      </w:pPr>
    </w:p>
    <w:sectPr w:rsidR="00780095" w:rsidRPr="0046604B" w:rsidSect="004F7405">
      <w:headerReference w:type="default" r:id="rId9"/>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731" w:rsidRDefault="001E3731">
      <w:pPr>
        <w:widowControl/>
        <w:spacing w:line="20" w:lineRule="exact"/>
      </w:pPr>
    </w:p>
  </w:endnote>
  <w:endnote w:type="continuationSeparator" w:id="0">
    <w:p w:rsidR="001E3731" w:rsidRDefault="001E3731">
      <w:r>
        <w:t xml:space="preserve"> </w:t>
      </w:r>
    </w:p>
  </w:endnote>
  <w:endnote w:type="continuationNotice" w:id="1">
    <w:p w:rsidR="001E3731" w:rsidRDefault="001E373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731" w:rsidRDefault="001E3731">
      <w:r>
        <w:separator/>
      </w:r>
    </w:p>
  </w:footnote>
  <w:footnote w:type="continuationSeparator" w:id="0">
    <w:p w:rsidR="001E3731" w:rsidRDefault="001E3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8AF" w:rsidRDefault="0090239B">
    <w:pPr>
      <w:pStyle w:val="Header"/>
      <w:rPr>
        <w:rFonts w:ascii="Bookman Old Style" w:hAnsi="Bookman Old Style"/>
      </w:rPr>
    </w:pPr>
    <w:r>
      <w:rPr>
        <w:rFonts w:ascii="Bookman Old Style" w:hAnsi="Bookman Old Style"/>
      </w:rPr>
      <w:t>D</w:t>
    </w:r>
    <w:r w:rsidR="00A91EDD">
      <w:rPr>
        <w:rFonts w:ascii="Bookman Old Style" w:hAnsi="Bookman Old Style"/>
      </w:rPr>
      <w:t xml:space="preserve">ocket# </w:t>
    </w:r>
    <w:r w:rsidR="00E446EA">
      <w:rPr>
        <w:rFonts w:ascii="Bookman Old Style" w:hAnsi="Bookman Old Style"/>
      </w:rPr>
      <w:t>19 0482</w:t>
    </w:r>
  </w:p>
  <w:p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06530E">
      <w:rPr>
        <w:rStyle w:val="PageNumber"/>
        <w:rFonts w:ascii="Bookman Old Style" w:hAnsi="Bookman Old Style"/>
        <w:noProof/>
      </w:rPr>
      <w:t>3</w:t>
    </w:r>
    <w:r w:rsidRPr="000B3C03">
      <w:rPr>
        <w:rStyle w:val="PageNumber"/>
        <w:rFonts w:ascii="Bookman Old Style" w:hAnsi="Bookman Old Style"/>
      </w:rPr>
      <w:fldChar w:fldCharType="end"/>
    </w:r>
  </w:p>
  <w:p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2"/>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731"/>
    <w:rsid w:val="00001E6A"/>
    <w:rsid w:val="00034258"/>
    <w:rsid w:val="0006530E"/>
    <w:rsid w:val="00087A38"/>
    <w:rsid w:val="000B3C03"/>
    <w:rsid w:val="000C07A1"/>
    <w:rsid w:val="000E242A"/>
    <w:rsid w:val="000E734A"/>
    <w:rsid w:val="000E7714"/>
    <w:rsid w:val="001249C2"/>
    <w:rsid w:val="00171C06"/>
    <w:rsid w:val="001E3731"/>
    <w:rsid w:val="001F6B5B"/>
    <w:rsid w:val="00280EFF"/>
    <w:rsid w:val="002A1EF1"/>
    <w:rsid w:val="002D7F1A"/>
    <w:rsid w:val="00303E4C"/>
    <w:rsid w:val="00304946"/>
    <w:rsid w:val="00324065"/>
    <w:rsid w:val="00341E3C"/>
    <w:rsid w:val="00347206"/>
    <w:rsid w:val="00382259"/>
    <w:rsid w:val="003C6E34"/>
    <w:rsid w:val="0046604B"/>
    <w:rsid w:val="00476DC4"/>
    <w:rsid w:val="004834AC"/>
    <w:rsid w:val="004A60C5"/>
    <w:rsid w:val="004D05FC"/>
    <w:rsid w:val="004E01C7"/>
    <w:rsid w:val="004F3BD6"/>
    <w:rsid w:val="004F7405"/>
    <w:rsid w:val="00591FFA"/>
    <w:rsid w:val="005A674B"/>
    <w:rsid w:val="005E0966"/>
    <w:rsid w:val="005E53D0"/>
    <w:rsid w:val="00682FEC"/>
    <w:rsid w:val="006C67EA"/>
    <w:rsid w:val="00703025"/>
    <w:rsid w:val="00713867"/>
    <w:rsid w:val="00735E13"/>
    <w:rsid w:val="00746072"/>
    <w:rsid w:val="00760187"/>
    <w:rsid w:val="00780095"/>
    <w:rsid w:val="00782350"/>
    <w:rsid w:val="0078796F"/>
    <w:rsid w:val="007F375D"/>
    <w:rsid w:val="008034CB"/>
    <w:rsid w:val="00812C65"/>
    <w:rsid w:val="00824A4C"/>
    <w:rsid w:val="00871694"/>
    <w:rsid w:val="00890A0D"/>
    <w:rsid w:val="00897129"/>
    <w:rsid w:val="008E3C9F"/>
    <w:rsid w:val="0090239B"/>
    <w:rsid w:val="009842BF"/>
    <w:rsid w:val="009B2AC0"/>
    <w:rsid w:val="009F1763"/>
    <w:rsid w:val="00A158AF"/>
    <w:rsid w:val="00A63887"/>
    <w:rsid w:val="00A91EDD"/>
    <w:rsid w:val="00AD5027"/>
    <w:rsid w:val="00AE37DC"/>
    <w:rsid w:val="00AE39CC"/>
    <w:rsid w:val="00AF55F4"/>
    <w:rsid w:val="00B074E1"/>
    <w:rsid w:val="00B6422F"/>
    <w:rsid w:val="00B72674"/>
    <w:rsid w:val="00BC45C9"/>
    <w:rsid w:val="00C56D4F"/>
    <w:rsid w:val="00C6551F"/>
    <w:rsid w:val="00C92AE4"/>
    <w:rsid w:val="00CF4ACF"/>
    <w:rsid w:val="00DB2E7D"/>
    <w:rsid w:val="00DC68B2"/>
    <w:rsid w:val="00E13AAA"/>
    <w:rsid w:val="00E2668C"/>
    <w:rsid w:val="00E446EA"/>
    <w:rsid w:val="00E95F25"/>
    <w:rsid w:val="00EA2CC6"/>
    <w:rsid w:val="00EB4EAF"/>
    <w:rsid w:val="00EE545A"/>
    <w:rsid w:val="00F06561"/>
    <w:rsid w:val="00F878F3"/>
    <w:rsid w:val="00FB2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404B7"/>
  <w15:chartTrackingRefBased/>
  <w15:docId w15:val="{156CFBC7-D2FF-4379-B53C-A61E3F3FE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78796F"/>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link w:val="Heading4"/>
    <w:uiPriority w:val="9"/>
    <w:semiHidden/>
    <w:rsid w:val="0078796F"/>
    <w:rPr>
      <w:rFonts w:ascii="Cambria" w:eastAsia="Times New Roman" w:hAnsi="Cambria" w:cs="Times New Roman"/>
      <w:b/>
      <w:bCs/>
      <w:i/>
      <w:iCs/>
      <w:snapToGrid w:val="0"/>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03%20Timeliness%20with%20BP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4C1FB-78BD-4D17-B378-CBFEBF5BC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 Timeliness with BPC</Template>
  <TotalTime>0</TotalTime>
  <Pages>3</Pages>
  <Words>1028</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2019-08-02T23:01:00Z</cp:lastPrinted>
  <dcterms:created xsi:type="dcterms:W3CDTF">2019-08-02T23:23:00Z</dcterms:created>
  <dcterms:modified xsi:type="dcterms:W3CDTF">2019-08-02T23:23:00Z</dcterms:modified>
</cp:coreProperties>
</file>