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E9D" w:rsidRPr="00D82DF6" w:rsidRDefault="00C7475A" w:rsidP="00D82DF6">
      <w:pPr>
        <w:widowControl/>
        <w:tabs>
          <w:tab w:val="center" w:pos="4680"/>
        </w:tabs>
        <w:suppressAutoHyphens/>
        <w:jc w:val="center"/>
        <w:rPr>
          <w:rFonts w:ascii="Bookman Old Style" w:hAnsi="Bookman Old Style"/>
          <w:b/>
          <w:szCs w:val="24"/>
        </w:rPr>
      </w:pPr>
      <w:r w:rsidRPr="00D82DF6">
        <w:rPr>
          <w:rFonts w:ascii="Bookman Old Style" w:hAnsi="Bookman Old Style"/>
          <w:noProof/>
          <w:szCs w:val="24"/>
        </w:rPr>
        <w:drawing>
          <wp:anchor distT="0" distB="0" distL="114300" distR="114300" simplePos="0" relativeHeight="251657728" behindDoc="1" locked="0" layoutInCell="1" allowOverlap="1">
            <wp:simplePos x="0" y="0"/>
            <wp:positionH relativeFrom="column">
              <wp:posOffset>-744220</wp:posOffset>
            </wp:positionH>
            <wp:positionV relativeFrom="paragraph">
              <wp:posOffset>-266065</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widowControl/>
        <w:tabs>
          <w:tab w:val="left" w:pos="-720"/>
        </w:tabs>
        <w:suppressAutoHyphens/>
        <w:rPr>
          <w:rFonts w:ascii="Bookman Old Style" w:hAnsi="Bookman Old Style"/>
          <w:szCs w:val="24"/>
        </w:rPr>
      </w:pPr>
    </w:p>
    <w:p w:rsidR="005A281D" w:rsidRPr="00D82DF6" w:rsidRDefault="005A281D" w:rsidP="00D82DF6">
      <w:pPr>
        <w:pStyle w:val="Heading3"/>
        <w:widowControl/>
        <w:tabs>
          <w:tab w:val="center" w:pos="4680"/>
        </w:tabs>
        <w:suppressAutoHyphens/>
        <w:rPr>
          <w:rFonts w:ascii="Bookman Old Style" w:hAnsi="Bookman Old Style"/>
          <w:szCs w:val="24"/>
        </w:rPr>
      </w:pPr>
      <w:r w:rsidRPr="00D82DF6">
        <w:rPr>
          <w:rFonts w:ascii="Bookman Old Style" w:hAnsi="Bookman Old Style"/>
          <w:szCs w:val="24"/>
        </w:rPr>
        <w:t>APPEAL TRIBUNAL DECISION</w:t>
      </w:r>
    </w:p>
    <w:p w:rsidR="005A281D" w:rsidRPr="00D82DF6" w:rsidRDefault="005A281D" w:rsidP="00D82DF6">
      <w:pPr>
        <w:widowControl/>
        <w:tabs>
          <w:tab w:val="left" w:pos="-720"/>
        </w:tabs>
        <w:suppressAutoHyphens/>
        <w:rPr>
          <w:rFonts w:ascii="Bookman Old Style" w:hAnsi="Bookman Old Style"/>
          <w:szCs w:val="24"/>
        </w:rPr>
      </w:pPr>
    </w:p>
    <w:p w:rsidR="00441439" w:rsidRPr="00D82DF6" w:rsidRDefault="00193EB9" w:rsidP="00D82DF6">
      <w:pPr>
        <w:widowControl/>
        <w:tabs>
          <w:tab w:val="center" w:pos="4680"/>
        </w:tabs>
        <w:suppressAutoHyphens/>
        <w:jc w:val="center"/>
        <w:outlineLvl w:val="0"/>
        <w:rPr>
          <w:rFonts w:ascii="Bookman Old Style" w:hAnsi="Bookman Old Style"/>
          <w:szCs w:val="24"/>
        </w:rPr>
      </w:pPr>
      <w:r w:rsidRPr="00D82DF6">
        <w:rPr>
          <w:rFonts w:ascii="Bookman Old Style" w:hAnsi="Bookman Old Style"/>
          <w:b/>
          <w:szCs w:val="24"/>
        </w:rPr>
        <w:t xml:space="preserve">Docket </w:t>
      </w:r>
      <w:r w:rsidR="007C0440" w:rsidRPr="00D82DF6">
        <w:rPr>
          <w:rFonts w:ascii="Bookman Old Style" w:hAnsi="Bookman Old Style"/>
          <w:b/>
          <w:szCs w:val="24"/>
        </w:rPr>
        <w:t>number:</w:t>
      </w:r>
      <w:r w:rsidR="00441439" w:rsidRPr="00D82DF6">
        <w:rPr>
          <w:rFonts w:ascii="Bookman Old Style" w:hAnsi="Bookman Old Style"/>
          <w:szCs w:val="24"/>
        </w:rPr>
        <w:t xml:space="preserve"> </w:t>
      </w:r>
      <w:r w:rsidR="00132364">
        <w:rPr>
          <w:rFonts w:ascii="Bookman Old Style" w:hAnsi="Bookman Old Style"/>
          <w:szCs w:val="24"/>
        </w:rPr>
        <w:t>19 0582</w:t>
      </w:r>
      <w:r w:rsidR="00441439" w:rsidRPr="00D82DF6">
        <w:rPr>
          <w:rFonts w:ascii="Bookman Old Style" w:hAnsi="Bookman Old Style"/>
          <w:szCs w:val="24"/>
        </w:rPr>
        <w:t xml:space="preserve">     </w:t>
      </w:r>
      <w:r w:rsidRPr="00D82DF6">
        <w:rPr>
          <w:rFonts w:ascii="Bookman Old Style" w:hAnsi="Bookman Old Style"/>
          <w:b/>
          <w:szCs w:val="24"/>
        </w:rPr>
        <w:t>Hearing d</w:t>
      </w:r>
      <w:r w:rsidR="00441439" w:rsidRPr="00D82DF6">
        <w:rPr>
          <w:rFonts w:ascii="Bookman Old Style" w:hAnsi="Bookman Old Style"/>
          <w:b/>
          <w:szCs w:val="24"/>
        </w:rPr>
        <w:t>ate:</w:t>
      </w:r>
      <w:r w:rsidR="00441439" w:rsidRPr="00D82DF6">
        <w:rPr>
          <w:rFonts w:ascii="Bookman Old Style" w:hAnsi="Bookman Old Style"/>
          <w:szCs w:val="24"/>
        </w:rPr>
        <w:t xml:space="preserve"> </w:t>
      </w:r>
      <w:r w:rsidR="00132364">
        <w:rPr>
          <w:rFonts w:ascii="Bookman Old Style" w:hAnsi="Bookman Old Style"/>
          <w:szCs w:val="24"/>
        </w:rPr>
        <w:t>July 11, 2019</w:t>
      </w:r>
    </w:p>
    <w:p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rsidR="00441439" w:rsidRPr="00D82DF6" w:rsidRDefault="00441439" w:rsidP="00132364">
      <w:pPr>
        <w:widowControl/>
        <w:tabs>
          <w:tab w:val="left" w:pos="-1440"/>
          <w:tab w:val="left" w:pos="-720"/>
          <w:tab w:val="left" w:pos="0"/>
          <w:tab w:val="left" w:pos="5040"/>
        </w:tabs>
        <w:suppressAutoHyphens/>
        <w:ind w:right="-360"/>
        <w:outlineLvl w:val="0"/>
        <w:rPr>
          <w:rFonts w:ascii="Bookman Old Style" w:hAnsi="Bookman Old Style"/>
          <w:szCs w:val="24"/>
        </w:rPr>
      </w:pPr>
      <w:r w:rsidRPr="00D82DF6">
        <w:rPr>
          <w:rFonts w:ascii="Bookman Old Style" w:hAnsi="Bookman Old Style"/>
          <w:b/>
          <w:szCs w:val="24"/>
        </w:rPr>
        <w:t>CLAIMANT:</w:t>
      </w:r>
      <w:r w:rsidRPr="00D82DF6">
        <w:rPr>
          <w:rFonts w:ascii="Bookman Old Style" w:hAnsi="Bookman Old Style"/>
          <w:b/>
          <w:szCs w:val="24"/>
        </w:rPr>
        <w:tab/>
        <w:t>EMPLOYER:</w:t>
      </w:r>
    </w:p>
    <w:p w:rsidR="00441439" w:rsidRPr="00D82DF6" w:rsidRDefault="00441439" w:rsidP="00132364">
      <w:pPr>
        <w:widowControl/>
        <w:tabs>
          <w:tab w:val="left" w:pos="-1440"/>
          <w:tab w:val="left" w:pos="-720"/>
          <w:tab w:val="left" w:pos="0"/>
          <w:tab w:val="left" w:pos="5040"/>
        </w:tabs>
        <w:suppressAutoHyphens/>
        <w:ind w:right="-360"/>
        <w:rPr>
          <w:rFonts w:ascii="Bookman Old Style" w:hAnsi="Bookman Old Style"/>
          <w:szCs w:val="24"/>
        </w:rPr>
      </w:pPr>
    </w:p>
    <w:p w:rsidR="00132364" w:rsidRPr="00132364" w:rsidRDefault="00132364" w:rsidP="00132364">
      <w:pPr>
        <w:widowControl/>
        <w:tabs>
          <w:tab w:val="left" w:pos="-1440"/>
          <w:tab w:val="left" w:pos="-720"/>
          <w:tab w:val="left" w:pos="0"/>
          <w:tab w:val="left" w:pos="5040"/>
        </w:tabs>
        <w:suppressAutoHyphens/>
        <w:ind w:right="-360"/>
        <w:rPr>
          <w:rFonts w:ascii="Bookman Old Style" w:hAnsi="Bookman Old Style"/>
          <w:szCs w:val="24"/>
        </w:rPr>
      </w:pPr>
      <w:r w:rsidRPr="00132364">
        <w:rPr>
          <w:rFonts w:ascii="Bookman Old Style" w:hAnsi="Bookman Old Style"/>
          <w:szCs w:val="24"/>
        </w:rPr>
        <w:t>DENICE SPENCER</w:t>
      </w:r>
      <w:r>
        <w:rPr>
          <w:rFonts w:ascii="Bookman Old Style" w:hAnsi="Bookman Old Style"/>
          <w:szCs w:val="24"/>
        </w:rPr>
        <w:tab/>
      </w:r>
      <w:r w:rsidRPr="00132364">
        <w:rPr>
          <w:rFonts w:ascii="Bookman Old Style" w:hAnsi="Bookman Old Style"/>
          <w:szCs w:val="24"/>
        </w:rPr>
        <w:t>GREATER ALBANY PUBLIC SCHOOL</w:t>
      </w:r>
    </w:p>
    <w:p w:rsidR="00441439" w:rsidRDefault="00441439" w:rsidP="00132364">
      <w:pPr>
        <w:widowControl/>
        <w:tabs>
          <w:tab w:val="left" w:pos="-1440"/>
          <w:tab w:val="left" w:pos="-720"/>
          <w:tab w:val="left" w:pos="0"/>
          <w:tab w:val="left" w:pos="5040"/>
        </w:tabs>
        <w:suppressAutoHyphens/>
        <w:ind w:right="-360"/>
        <w:rPr>
          <w:rFonts w:ascii="Bookman Old Style" w:hAnsi="Bookman Old Style"/>
          <w:szCs w:val="24"/>
        </w:rPr>
      </w:pPr>
    </w:p>
    <w:p w:rsidR="00F97AF4" w:rsidRDefault="00F97AF4" w:rsidP="00132364">
      <w:pPr>
        <w:widowControl/>
        <w:tabs>
          <w:tab w:val="left" w:pos="-1440"/>
          <w:tab w:val="left" w:pos="-720"/>
          <w:tab w:val="left" w:pos="0"/>
          <w:tab w:val="left" w:pos="5040"/>
        </w:tabs>
        <w:suppressAutoHyphens/>
        <w:ind w:right="-360"/>
        <w:rPr>
          <w:rFonts w:ascii="Bookman Old Style" w:hAnsi="Bookman Old Style"/>
          <w:szCs w:val="24"/>
        </w:rPr>
      </w:pPr>
    </w:p>
    <w:p w:rsidR="00F97AF4" w:rsidRPr="00D82DF6" w:rsidRDefault="00F97AF4" w:rsidP="00132364">
      <w:pPr>
        <w:widowControl/>
        <w:tabs>
          <w:tab w:val="left" w:pos="-1440"/>
          <w:tab w:val="left" w:pos="-720"/>
          <w:tab w:val="left" w:pos="0"/>
          <w:tab w:val="left" w:pos="5040"/>
        </w:tabs>
        <w:suppressAutoHyphens/>
        <w:ind w:right="-360"/>
        <w:rPr>
          <w:rFonts w:ascii="Bookman Old Style" w:hAnsi="Bookman Old Style"/>
          <w:szCs w:val="24"/>
        </w:rPr>
      </w:pPr>
      <w:bookmarkStart w:id="0" w:name="_GoBack"/>
      <w:bookmarkEnd w:id="0"/>
    </w:p>
    <w:p w:rsidR="00441439" w:rsidRPr="00D82DF6" w:rsidRDefault="00441439" w:rsidP="00132364">
      <w:pPr>
        <w:widowControl/>
        <w:tabs>
          <w:tab w:val="left" w:pos="-1440"/>
          <w:tab w:val="left" w:pos="-720"/>
          <w:tab w:val="left" w:pos="0"/>
          <w:tab w:val="left" w:pos="5040"/>
        </w:tabs>
        <w:suppressAutoHyphens/>
        <w:ind w:right="-360"/>
        <w:rPr>
          <w:rFonts w:ascii="Bookman Old Style" w:hAnsi="Bookman Old Style"/>
          <w:szCs w:val="24"/>
        </w:rPr>
      </w:pPr>
      <w:r w:rsidRPr="00D82DF6">
        <w:rPr>
          <w:rFonts w:ascii="Bookman Old Style" w:hAnsi="Bookman Old Style"/>
          <w:b/>
          <w:szCs w:val="24"/>
        </w:rPr>
        <w:t>CLAIMANT APPEARANCES:</w:t>
      </w:r>
      <w:r w:rsidRPr="00D82DF6">
        <w:rPr>
          <w:rFonts w:ascii="Bookman Old Style" w:hAnsi="Bookman Old Style"/>
          <w:b/>
          <w:szCs w:val="24"/>
        </w:rPr>
        <w:tab/>
        <w:t>EMPLOYER APPEARANCES:</w:t>
      </w:r>
    </w:p>
    <w:p w:rsidR="00441439" w:rsidRPr="00D82DF6" w:rsidRDefault="00441439" w:rsidP="00132364">
      <w:pPr>
        <w:widowControl/>
        <w:tabs>
          <w:tab w:val="left" w:pos="-1440"/>
          <w:tab w:val="left" w:pos="-720"/>
          <w:tab w:val="left" w:pos="0"/>
          <w:tab w:val="left" w:pos="5040"/>
        </w:tabs>
        <w:suppressAutoHyphens/>
        <w:ind w:right="-360"/>
        <w:rPr>
          <w:rFonts w:ascii="Bookman Old Style" w:hAnsi="Bookman Old Style"/>
          <w:szCs w:val="24"/>
        </w:rPr>
      </w:pPr>
    </w:p>
    <w:p w:rsidR="00441439" w:rsidRPr="00D82DF6" w:rsidRDefault="00132364" w:rsidP="00132364">
      <w:pPr>
        <w:widowControl/>
        <w:tabs>
          <w:tab w:val="left" w:pos="-1440"/>
          <w:tab w:val="left" w:pos="-720"/>
          <w:tab w:val="left" w:pos="0"/>
          <w:tab w:val="left" w:pos="5040"/>
        </w:tabs>
        <w:suppressAutoHyphens/>
        <w:ind w:right="-360"/>
        <w:rPr>
          <w:rFonts w:ascii="Bookman Old Style" w:hAnsi="Bookman Old Style"/>
          <w:szCs w:val="24"/>
        </w:rPr>
      </w:pPr>
      <w:r>
        <w:rPr>
          <w:rFonts w:ascii="Bookman Old Style" w:hAnsi="Bookman Old Style"/>
          <w:szCs w:val="24"/>
        </w:rPr>
        <w:t>Denice Spencer</w:t>
      </w:r>
      <w:r w:rsidR="00441439" w:rsidRPr="00D82DF6">
        <w:rPr>
          <w:rFonts w:ascii="Bookman Old Style" w:hAnsi="Bookman Old Style"/>
          <w:szCs w:val="24"/>
        </w:rPr>
        <w:tab/>
      </w:r>
      <w:r>
        <w:rPr>
          <w:rFonts w:ascii="Bookman Old Style" w:hAnsi="Bookman Old Style"/>
          <w:szCs w:val="24"/>
        </w:rPr>
        <w:t>Randy Lary</w:t>
      </w:r>
    </w:p>
    <w:p w:rsidR="005A281D" w:rsidRPr="00D82DF6" w:rsidRDefault="005A281D" w:rsidP="00D82DF6">
      <w:pPr>
        <w:widowControl/>
        <w:tabs>
          <w:tab w:val="left" w:pos="-1440"/>
          <w:tab w:val="left" w:pos="-720"/>
          <w:tab w:val="left" w:pos="0"/>
          <w:tab w:val="left" w:pos="5760"/>
        </w:tabs>
        <w:suppressAutoHyphens/>
        <w:ind w:right="-360"/>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CASE HISTORY</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widowControl/>
        <w:spacing w:after="200"/>
        <w:rPr>
          <w:rFonts w:ascii="Bookman Old Style" w:hAnsi="Bookman Old Style"/>
          <w:snapToGrid/>
          <w:szCs w:val="24"/>
        </w:rPr>
      </w:pPr>
      <w:r w:rsidRPr="00D82DF6">
        <w:rPr>
          <w:rFonts w:ascii="Bookman Old Style" w:hAnsi="Bookman Old Style"/>
          <w:snapToGrid/>
          <w:szCs w:val="24"/>
        </w:rPr>
        <w:t xml:space="preserve">The </w:t>
      </w:r>
      <w:r w:rsidR="00132364">
        <w:rPr>
          <w:rFonts w:ascii="Bookman Old Style" w:hAnsi="Bookman Old Style"/>
          <w:szCs w:val="24"/>
        </w:rPr>
        <w:t>claimant</w:t>
      </w:r>
      <w:r w:rsidR="00FD077C">
        <w:rPr>
          <w:rFonts w:ascii="Bookman Old Style" w:hAnsi="Bookman Old Style"/>
          <w:szCs w:val="24"/>
        </w:rPr>
        <w:t xml:space="preserve"> </w:t>
      </w:r>
      <w:r w:rsidRPr="00D82DF6">
        <w:rPr>
          <w:rFonts w:ascii="Bookman Old Style" w:hAnsi="Bookman Old Style"/>
          <w:snapToGrid/>
          <w:szCs w:val="24"/>
        </w:rPr>
        <w:t xml:space="preserve">timely appealed a </w:t>
      </w:r>
      <w:r w:rsidR="00132364">
        <w:rPr>
          <w:rFonts w:ascii="Bookman Old Style" w:hAnsi="Bookman Old Style"/>
          <w:snapToGrid/>
          <w:szCs w:val="24"/>
        </w:rPr>
        <w:t>June 10, 2019</w:t>
      </w:r>
      <w:r w:rsidRPr="00D82DF6">
        <w:rPr>
          <w:rFonts w:ascii="Bookman Old Style" w:hAnsi="Bookman Old Style"/>
          <w:snapToGrid/>
          <w:szCs w:val="24"/>
        </w:rPr>
        <w:t xml:space="preserve"> determination which denied benefits under Alaska Statute 23.20.379. The issue before the Appeal Tribunal is whether the claimant voluntarily quit suitable work without good cause or was discharged for misconduct connected with the work.</w:t>
      </w: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FINDINGS OF FACT</w:t>
      </w:r>
    </w:p>
    <w:p w:rsidR="00441439" w:rsidRPr="00D82DF6" w:rsidRDefault="00441439" w:rsidP="00D82DF6">
      <w:pPr>
        <w:tabs>
          <w:tab w:val="left" w:pos="-1440"/>
          <w:tab w:val="left" w:pos="-720"/>
        </w:tabs>
        <w:rPr>
          <w:rFonts w:ascii="Bookman Old Style" w:hAnsi="Bookman Old Style"/>
          <w:szCs w:val="24"/>
        </w:rPr>
      </w:pPr>
    </w:p>
    <w:p w:rsidR="005A281D" w:rsidRDefault="00441439" w:rsidP="00D82DF6">
      <w:pPr>
        <w:widowControl/>
        <w:tabs>
          <w:tab w:val="left" w:pos="-1440"/>
          <w:tab w:val="left" w:pos="-720"/>
        </w:tabs>
        <w:suppressAutoHyphens/>
        <w:spacing w:after="200"/>
        <w:ind w:right="-360"/>
        <w:rPr>
          <w:rFonts w:ascii="Bookman Old Style" w:hAnsi="Bookman Old Style"/>
          <w:snapToGrid/>
          <w:szCs w:val="24"/>
        </w:rPr>
      </w:pPr>
      <w:r w:rsidRPr="00D82DF6">
        <w:rPr>
          <w:rFonts w:ascii="Bookman Old Style" w:hAnsi="Bookman Old Style"/>
          <w:snapToGrid/>
          <w:szCs w:val="24"/>
        </w:rPr>
        <w:t xml:space="preserve">The claimant began work for the employer on </w:t>
      </w:r>
      <w:r w:rsidR="00132364">
        <w:rPr>
          <w:rFonts w:ascii="Bookman Old Style" w:hAnsi="Bookman Old Style"/>
          <w:snapToGrid/>
          <w:szCs w:val="24"/>
        </w:rPr>
        <w:t>September 24, 2018</w:t>
      </w:r>
      <w:r w:rsidRPr="00D82DF6">
        <w:rPr>
          <w:rFonts w:ascii="Bookman Old Style" w:hAnsi="Bookman Old Style"/>
          <w:snapToGrid/>
          <w:szCs w:val="24"/>
        </w:rPr>
        <w:t xml:space="preserve">. </w:t>
      </w:r>
      <w:r w:rsidR="00132364">
        <w:rPr>
          <w:rFonts w:ascii="Bookman Old Style" w:hAnsi="Bookman Old Style"/>
          <w:snapToGrid/>
          <w:szCs w:val="24"/>
        </w:rPr>
        <w:t>She</w:t>
      </w:r>
      <w:r w:rsidRPr="00D82DF6">
        <w:rPr>
          <w:rFonts w:ascii="Bookman Old Style" w:hAnsi="Bookman Old Style"/>
          <w:snapToGrid/>
          <w:szCs w:val="24"/>
        </w:rPr>
        <w:t xml:space="preserve"> last worked on </w:t>
      </w:r>
      <w:r w:rsidR="00132364">
        <w:rPr>
          <w:rFonts w:ascii="Bookman Old Style" w:hAnsi="Bookman Old Style"/>
          <w:snapToGrid/>
          <w:szCs w:val="24"/>
        </w:rPr>
        <w:t>March 18, 2019</w:t>
      </w:r>
      <w:r w:rsidRPr="00D82DF6">
        <w:rPr>
          <w:rFonts w:ascii="Bookman Old Style" w:hAnsi="Bookman Old Style"/>
          <w:snapToGrid/>
          <w:szCs w:val="24"/>
        </w:rPr>
        <w:t xml:space="preserve">. At that time, </w:t>
      </w:r>
      <w:r w:rsidR="00132364">
        <w:rPr>
          <w:rFonts w:ascii="Bookman Old Style" w:hAnsi="Bookman Old Style"/>
          <w:snapToGrid/>
          <w:szCs w:val="24"/>
        </w:rPr>
        <w:t>she</w:t>
      </w:r>
      <w:r w:rsidRPr="00D82DF6">
        <w:rPr>
          <w:rFonts w:ascii="Bookman Old Style" w:hAnsi="Bookman Old Style"/>
          <w:snapToGrid/>
          <w:szCs w:val="24"/>
        </w:rPr>
        <w:t xml:space="preserve"> worked </w:t>
      </w:r>
      <w:r w:rsidR="00132364">
        <w:rPr>
          <w:rFonts w:ascii="Bookman Old Style" w:hAnsi="Bookman Old Style"/>
          <w:snapToGrid/>
          <w:szCs w:val="24"/>
        </w:rPr>
        <w:t>full time</w:t>
      </w:r>
      <w:r w:rsidRPr="00D82DF6">
        <w:rPr>
          <w:rFonts w:ascii="Bookman Old Style" w:hAnsi="Bookman Old Style"/>
          <w:snapToGrid/>
          <w:szCs w:val="24"/>
        </w:rPr>
        <w:t xml:space="preserve"> as a </w:t>
      </w:r>
      <w:r w:rsidR="00132364">
        <w:rPr>
          <w:rFonts w:ascii="Bookman Old Style" w:hAnsi="Bookman Old Style"/>
          <w:snapToGrid/>
          <w:szCs w:val="24"/>
        </w:rPr>
        <w:t>teacher</w:t>
      </w:r>
      <w:r w:rsidRPr="00D82DF6">
        <w:rPr>
          <w:rFonts w:ascii="Bookman Old Style" w:hAnsi="Bookman Old Style"/>
          <w:snapToGrid/>
          <w:szCs w:val="24"/>
        </w:rPr>
        <w:t>.</w:t>
      </w:r>
    </w:p>
    <w:p w:rsidR="007B6D0C" w:rsidRDefault="00132364"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taught classes in the </w:t>
      </w:r>
      <w:r w:rsidR="00F97AF4">
        <w:rPr>
          <w:rFonts w:ascii="Bookman Old Style" w:hAnsi="Bookman Old Style"/>
          <w:snapToGrid/>
          <w:szCs w:val="24"/>
        </w:rPr>
        <w:t xml:space="preserve">employer’s </w:t>
      </w:r>
      <w:r>
        <w:rPr>
          <w:rFonts w:ascii="Bookman Old Style" w:hAnsi="Bookman Old Style"/>
          <w:snapToGrid/>
          <w:szCs w:val="24"/>
        </w:rPr>
        <w:t xml:space="preserve">alternative education program. </w:t>
      </w:r>
      <w:r w:rsidR="007B6D0C">
        <w:rPr>
          <w:rFonts w:ascii="Bookman Old Style" w:hAnsi="Bookman Old Style"/>
          <w:snapToGrid/>
          <w:szCs w:val="24"/>
        </w:rPr>
        <w:t>The</w:t>
      </w:r>
      <w:r w:rsidR="00F97AF4">
        <w:rPr>
          <w:rFonts w:ascii="Bookman Old Style" w:hAnsi="Bookman Old Style"/>
          <w:snapToGrid/>
          <w:szCs w:val="24"/>
        </w:rPr>
        <w:t xml:space="preserve"> claimant was concerned with</w:t>
      </w:r>
      <w:r w:rsidR="007B6D0C">
        <w:rPr>
          <w:rFonts w:ascii="Bookman Old Style" w:hAnsi="Bookman Old Style"/>
          <w:snapToGrid/>
          <w:szCs w:val="24"/>
        </w:rPr>
        <w:t xml:space="preserve"> behavior problems of </w:t>
      </w:r>
      <w:r w:rsidR="00F97AF4">
        <w:rPr>
          <w:rFonts w:ascii="Bookman Old Style" w:hAnsi="Bookman Old Style"/>
          <w:snapToGrid/>
          <w:szCs w:val="24"/>
        </w:rPr>
        <w:t xml:space="preserve">some of </w:t>
      </w:r>
      <w:r w:rsidR="007B6D0C">
        <w:rPr>
          <w:rFonts w:ascii="Bookman Old Style" w:hAnsi="Bookman Old Style"/>
          <w:snapToGrid/>
          <w:szCs w:val="24"/>
        </w:rPr>
        <w:t xml:space="preserve">the students in her classroom. </w:t>
      </w:r>
      <w:r w:rsidR="00F97AF4">
        <w:rPr>
          <w:rFonts w:ascii="Bookman Old Style" w:hAnsi="Bookman Old Style"/>
          <w:snapToGrid/>
          <w:szCs w:val="24"/>
        </w:rPr>
        <w:t>A student</w:t>
      </w:r>
      <w:r>
        <w:rPr>
          <w:rFonts w:ascii="Bookman Old Style" w:hAnsi="Bookman Old Style"/>
          <w:snapToGrid/>
          <w:szCs w:val="24"/>
        </w:rPr>
        <w:t xml:space="preserve"> accused the claimant of touching him inappropriately with no basis.  Two friends of the student s</w:t>
      </w:r>
      <w:r w:rsidR="007B6D0C">
        <w:rPr>
          <w:rFonts w:ascii="Bookman Old Style" w:hAnsi="Bookman Old Style"/>
          <w:snapToGrid/>
          <w:szCs w:val="24"/>
        </w:rPr>
        <w:t xml:space="preserve">tarted repeating the accusation to taunt the claimant. The claimant reported the student’s behavior to her supervisor and he told her that he knew the claims were false and the students were repeating it because they found it funny.  The claimant was advised to meet with the parents of the students to talk about the accusations.  The claimant felt this was a bad idea and she thought she would be at risk by meeting with the parents. </w:t>
      </w:r>
    </w:p>
    <w:p w:rsidR="007B6D0C" w:rsidRDefault="007B6D0C"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was concerned that if the </w:t>
      </w:r>
      <w:r w:rsidR="003773BD">
        <w:rPr>
          <w:rFonts w:ascii="Bookman Old Style" w:hAnsi="Bookman Old Style"/>
          <w:snapToGrid/>
          <w:szCs w:val="24"/>
        </w:rPr>
        <w:t>students</w:t>
      </w:r>
      <w:r>
        <w:rPr>
          <w:rFonts w:ascii="Bookman Old Style" w:hAnsi="Bookman Old Style"/>
          <w:snapToGrid/>
          <w:szCs w:val="24"/>
        </w:rPr>
        <w:t xml:space="preserve"> continued to </w:t>
      </w:r>
      <w:r w:rsidR="003773BD">
        <w:rPr>
          <w:rFonts w:ascii="Bookman Old Style" w:hAnsi="Bookman Old Style"/>
          <w:snapToGrid/>
          <w:szCs w:val="24"/>
        </w:rPr>
        <w:t>repeat the false claims</w:t>
      </w:r>
      <w:r>
        <w:rPr>
          <w:rFonts w:ascii="Bookman Old Style" w:hAnsi="Bookman Old Style"/>
          <w:snapToGrid/>
          <w:szCs w:val="24"/>
        </w:rPr>
        <w:t>, people might start thinking there was some truth to them</w:t>
      </w:r>
      <w:r w:rsidR="00C7475A">
        <w:rPr>
          <w:rFonts w:ascii="Bookman Old Style" w:hAnsi="Bookman Old Style"/>
          <w:snapToGrid/>
          <w:szCs w:val="24"/>
        </w:rPr>
        <w:t xml:space="preserve"> and cause damage to the claimant’s reputation</w:t>
      </w:r>
      <w:r>
        <w:rPr>
          <w:rFonts w:ascii="Bookman Old Style" w:hAnsi="Bookman Old Style"/>
          <w:snapToGrid/>
          <w:szCs w:val="24"/>
        </w:rPr>
        <w:t xml:space="preserve">. She was concerned that she </w:t>
      </w:r>
      <w:r w:rsidR="00C7475A">
        <w:rPr>
          <w:rFonts w:ascii="Bookman Old Style" w:hAnsi="Bookman Old Style"/>
          <w:snapToGrid/>
          <w:szCs w:val="24"/>
        </w:rPr>
        <w:t>c</w:t>
      </w:r>
      <w:r>
        <w:rPr>
          <w:rFonts w:ascii="Bookman Old Style" w:hAnsi="Bookman Old Style"/>
          <w:snapToGrid/>
          <w:szCs w:val="24"/>
        </w:rPr>
        <w:t xml:space="preserve">ould be placed under investigation, which </w:t>
      </w:r>
      <w:r w:rsidR="00C7475A">
        <w:rPr>
          <w:rFonts w:ascii="Bookman Old Style" w:hAnsi="Bookman Old Style"/>
          <w:snapToGrid/>
          <w:szCs w:val="24"/>
        </w:rPr>
        <w:t xml:space="preserve">in itself </w:t>
      </w:r>
      <w:r>
        <w:rPr>
          <w:rFonts w:ascii="Bookman Old Style" w:hAnsi="Bookman Old Style"/>
          <w:snapToGrid/>
          <w:szCs w:val="24"/>
        </w:rPr>
        <w:t xml:space="preserve">would make it difficult to get another teaching job. </w:t>
      </w:r>
      <w:r w:rsidR="003773BD">
        <w:rPr>
          <w:rFonts w:ascii="Bookman Old Style" w:hAnsi="Bookman Old Style"/>
          <w:snapToGrid/>
          <w:szCs w:val="24"/>
        </w:rPr>
        <w:t>The claimant asked to be moved to another classroom, but she was advised there were no openings available.</w:t>
      </w:r>
    </w:p>
    <w:p w:rsidR="007B6D0C" w:rsidRDefault="007B6D0C"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lastRenderedPageBreak/>
        <w:t xml:space="preserve">A few days before </w:t>
      </w:r>
      <w:r w:rsidR="00C7475A">
        <w:rPr>
          <w:rFonts w:ascii="Bookman Old Style" w:hAnsi="Bookman Old Style"/>
          <w:snapToGrid/>
          <w:szCs w:val="24"/>
        </w:rPr>
        <w:t>her</w:t>
      </w:r>
      <w:r>
        <w:rPr>
          <w:rFonts w:ascii="Bookman Old Style" w:hAnsi="Bookman Old Style"/>
          <w:snapToGrid/>
          <w:szCs w:val="24"/>
        </w:rPr>
        <w:t xml:space="preserve"> work ended, the claimant met with her supervisor about her concerns.  The claimant felt her supervisor was disrespectful and raised his voice to her.  He told her it was her responsibility to fix the relationship with the students that were acting out.  The claimant was told by her supervisor to keep her concerns to herself and not take the matter to the district office.  </w:t>
      </w:r>
    </w:p>
    <w:p w:rsidR="00D82DF6" w:rsidRPr="00D82DF6" w:rsidRDefault="007B6D0C"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The claimant advised her union representative of her situation,</w:t>
      </w:r>
      <w:r w:rsidR="003773BD">
        <w:rPr>
          <w:rFonts w:ascii="Bookman Old Style" w:hAnsi="Bookman Old Style"/>
          <w:snapToGrid/>
          <w:szCs w:val="24"/>
        </w:rPr>
        <w:t xml:space="preserve"> but she did not attempt to take her concerns further with the employer by filing a grievance or a complaint with the employer’s human resources office. She did not contact the employer’s district office or the school board because she did not want to cause problems. The claimant resigned effective immediately on March 18, 2019. She later filed a complaint with the employer </w:t>
      </w:r>
      <w:r w:rsidR="00C7475A">
        <w:rPr>
          <w:rFonts w:ascii="Bookman Old Style" w:hAnsi="Bookman Old Style"/>
          <w:snapToGrid/>
          <w:szCs w:val="24"/>
        </w:rPr>
        <w:t xml:space="preserve">about the matter </w:t>
      </w:r>
      <w:r w:rsidR="003773BD">
        <w:rPr>
          <w:rFonts w:ascii="Bookman Old Style" w:hAnsi="Bookman Old Style"/>
          <w:snapToGrid/>
          <w:szCs w:val="24"/>
        </w:rPr>
        <w:t xml:space="preserve">in June.  </w:t>
      </w:r>
    </w:p>
    <w:p w:rsidR="005A281D" w:rsidRPr="00D82DF6" w:rsidRDefault="005A281D" w:rsidP="00D82DF6">
      <w:pPr>
        <w:pStyle w:val="Heading4"/>
        <w:jc w:val="center"/>
        <w:rPr>
          <w:rFonts w:ascii="Bookman Old Style" w:hAnsi="Bookman Old Style"/>
          <w:szCs w:val="24"/>
        </w:rPr>
      </w:pPr>
      <w:r w:rsidRPr="00D82DF6">
        <w:rPr>
          <w:rFonts w:ascii="Bookman Old Style" w:hAnsi="Bookman Old Style"/>
          <w:szCs w:val="24"/>
        </w:rPr>
        <w:t>PROVISIONS OF LAW</w:t>
      </w:r>
    </w:p>
    <w:p w:rsidR="005A281D" w:rsidRPr="00D82DF6" w:rsidRDefault="005A281D" w:rsidP="00D82DF6">
      <w:pPr>
        <w:tabs>
          <w:tab w:val="left" w:pos="-1440"/>
          <w:tab w:val="left" w:pos="-720"/>
        </w:tabs>
        <w:rPr>
          <w:rFonts w:ascii="Bookman Old Style" w:hAnsi="Bookman Old Style"/>
          <w:szCs w:val="24"/>
        </w:rPr>
      </w:pPr>
    </w:p>
    <w:p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AS 23.20.379 provides in part:</w:t>
      </w:r>
    </w:p>
    <w:p w:rsidR="003E7E91" w:rsidRPr="00D82DF6" w:rsidRDefault="003E7E91" w:rsidP="00D82DF6">
      <w:pPr>
        <w:tabs>
          <w:tab w:val="left" w:pos="-1440"/>
          <w:tab w:val="left" w:pos="-720"/>
          <w:tab w:val="left" w:pos="0"/>
          <w:tab w:val="left" w:pos="720"/>
        </w:tabs>
        <w:suppressAutoHyphens/>
        <w:ind w:right="-360"/>
        <w:rPr>
          <w:rFonts w:ascii="Bookman Old Style" w:hAnsi="Bookman Old Style"/>
          <w:szCs w:val="24"/>
        </w:rPr>
      </w:pPr>
      <w:r w:rsidRPr="00D82DF6">
        <w:rPr>
          <w:rFonts w:ascii="Bookman Old Style" w:hAnsi="Bookman Old Style"/>
          <w:szCs w:val="24"/>
        </w:rPr>
        <w:tab/>
      </w:r>
    </w:p>
    <w:p w:rsidR="003E7E91" w:rsidRPr="00D82DF6" w:rsidRDefault="003E7E91" w:rsidP="00D82DF6">
      <w:pPr>
        <w:tabs>
          <w:tab w:val="left" w:pos="-1440"/>
          <w:tab w:val="left" w:pos="-720"/>
          <w:tab w:val="left" w:pos="0"/>
          <w:tab w:val="left" w:pos="1440"/>
        </w:tabs>
        <w:suppressAutoHyphens/>
        <w:ind w:left="1440" w:right="-360" w:hanging="720"/>
        <w:rPr>
          <w:rFonts w:ascii="Bookman Old Style" w:hAnsi="Bookman Old Style"/>
          <w:szCs w:val="24"/>
        </w:rPr>
      </w:pPr>
      <w:r w:rsidRPr="00D82DF6">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rsidR="003E7E91" w:rsidRPr="00D82DF6" w:rsidRDefault="003E7E91" w:rsidP="00D82DF6">
      <w:pPr>
        <w:tabs>
          <w:tab w:val="left" w:pos="-1440"/>
          <w:tab w:val="left" w:pos="-720"/>
          <w:tab w:val="left" w:pos="0"/>
          <w:tab w:val="left" w:pos="720"/>
          <w:tab w:val="left" w:pos="1440"/>
        </w:tabs>
        <w:suppressAutoHyphens/>
        <w:ind w:left="720" w:right="-360"/>
        <w:rPr>
          <w:rFonts w:ascii="Bookman Old Style" w:hAnsi="Bookman Old Style"/>
          <w:szCs w:val="24"/>
        </w:rPr>
      </w:pPr>
    </w:p>
    <w:p w:rsidR="003E7E91" w:rsidRPr="00D82DF6" w:rsidRDefault="003E7E91" w:rsidP="00D82DF6">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r w:rsidRPr="00D82DF6">
        <w:rPr>
          <w:rFonts w:ascii="Bookman Old Style" w:hAnsi="Bookman Old Style"/>
          <w:szCs w:val="24"/>
        </w:rPr>
        <w:t>left the insured worker's last suitable work voluntarily without  good cause....</w:t>
      </w:r>
    </w:p>
    <w:p w:rsidR="003E7E91" w:rsidRPr="00D82DF6" w:rsidRDefault="003E7E91" w:rsidP="00D82DF6">
      <w:pPr>
        <w:tabs>
          <w:tab w:val="left" w:pos="-1440"/>
          <w:tab w:val="left" w:pos="-720"/>
        </w:tabs>
        <w:rPr>
          <w:rFonts w:ascii="Bookman Old Style" w:hAnsi="Bookman Old Style"/>
          <w:szCs w:val="24"/>
        </w:rPr>
      </w:pPr>
    </w:p>
    <w:p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8 AAC 85.095 provides in part:</w:t>
      </w:r>
    </w:p>
    <w:p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p>
    <w:p w:rsidR="003A5235"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(c) </w:t>
      </w:r>
      <w:r w:rsidRPr="00D82DF6">
        <w:rPr>
          <w:rFonts w:ascii="Bookman Old Style" w:hAnsi="Bookman Old Style"/>
          <w:snapToGrid/>
          <w:szCs w:val="24"/>
        </w:rPr>
        <w:tab/>
        <w:t xml:space="preserve">To determine the existence of good cause under AS 23.20.379(a)(1) for voluntarily leaving work determined to be suitable under </w:t>
      </w:r>
    </w:p>
    <w:p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AS 23.20.385, the department will consider only the following factors:</w:t>
      </w:r>
    </w:p>
    <w:p w:rsidR="003E7E91" w:rsidRPr="00D82DF6" w:rsidRDefault="003E7E91" w:rsidP="00D82DF6">
      <w:pPr>
        <w:widowControl/>
        <w:autoSpaceDE w:val="0"/>
        <w:autoSpaceDN w:val="0"/>
        <w:adjustRightInd w:val="0"/>
        <w:ind w:left="1440" w:hanging="720"/>
        <w:rPr>
          <w:rFonts w:ascii="Bookman Old Style" w:hAnsi="Bookman Old Style"/>
          <w:snapToGrid/>
          <w:szCs w:val="24"/>
        </w:rPr>
      </w:pP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(1) </w:t>
      </w:r>
      <w:r w:rsidRPr="00D82DF6">
        <w:rPr>
          <w:rFonts w:ascii="Bookman Old Style" w:hAnsi="Bookman Old Style"/>
          <w:snapToGrid/>
          <w:szCs w:val="24"/>
        </w:rPr>
        <w:tab/>
        <w:t>leaving work due to a disability or illness of the claimant that makes it impossible for the claimant to perform the duties required by the work, if the claimant has no other reasonable alternative but to leave work;</w:t>
      </w: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(2) </w:t>
      </w:r>
      <w:r w:rsidRPr="00D82DF6">
        <w:rPr>
          <w:rFonts w:ascii="Bookman Old Style" w:hAnsi="Bookman Old Style"/>
          <w:snapToGrid/>
          <w:szCs w:val="24"/>
        </w:rPr>
        <w:tab/>
        <w:t>leaving work to care for an immediate family member who has a disability or illness;</w:t>
      </w: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(3) </w:t>
      </w:r>
      <w:r w:rsidRPr="00D82DF6">
        <w:rPr>
          <w:rFonts w:ascii="Bookman Old Style" w:hAnsi="Bookman Old Style"/>
          <w:snapToGrid/>
          <w:szCs w:val="24"/>
        </w:rPr>
        <w:tab/>
        <w:t>leaving work due to safety or other working conditions or an employment agreement related directly to the work, if the claimant has no other reasonable alternative but to leave work;</w:t>
      </w: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(4) </w:t>
      </w:r>
      <w:r w:rsidRPr="00D82DF6">
        <w:rPr>
          <w:rFonts w:ascii="Bookman Old Style" w:hAnsi="Bookman Old Style"/>
          <w:snapToGrid/>
          <w:szCs w:val="24"/>
        </w:rPr>
        <w:tab/>
        <w:t xml:space="preserve">leaving work to accompany or join a spouse at a change of location, if commuting from the new location to the claimant’s work is impractical; for purposes of this </w:t>
      </w:r>
      <w:r w:rsidRPr="00D82DF6">
        <w:rPr>
          <w:rFonts w:ascii="Bookman Old Style" w:hAnsi="Bookman Old Style"/>
          <w:snapToGrid/>
          <w:szCs w:val="24"/>
        </w:rPr>
        <w:lastRenderedPageBreak/>
        <w:t>paragraph, the change of location must be as a result of the spouse’s</w:t>
      </w:r>
    </w:p>
    <w:p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(A) discharge from military service; or</w:t>
      </w:r>
    </w:p>
    <w:p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(B) employment;</w:t>
      </w:r>
    </w:p>
    <w:p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 xml:space="preserve">(5) </w:t>
      </w:r>
      <w:r w:rsidRPr="00D82DF6">
        <w:rPr>
          <w:rFonts w:ascii="Bookman Old Style" w:hAnsi="Bookman Old Style"/>
          <w:snapToGrid/>
          <w:szCs w:val="24"/>
        </w:rPr>
        <w:tab/>
        <w:t>leaving unskilled work to attend a vocational training or retraining course approved by the director under AS 23.20.382, only if the claimant enters the course immediately upon separating from work;</w:t>
      </w:r>
    </w:p>
    <w:p w:rsidR="003E7E91" w:rsidRPr="00D82DF6" w:rsidRDefault="00D82DF6" w:rsidP="003311C5">
      <w:pPr>
        <w:widowControl/>
        <w:autoSpaceDE w:val="0"/>
        <w:autoSpaceDN w:val="0"/>
        <w:adjustRightInd w:val="0"/>
        <w:ind w:left="2160" w:hanging="66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r w:rsidR="003E7E91" w:rsidRPr="00D82DF6">
        <w:rPr>
          <w:rFonts w:ascii="Bookman Old Style" w:hAnsi="Bookman Old Style"/>
          <w:snapToGrid/>
          <w:szCs w:val="24"/>
        </w:rPr>
        <w:t>leaving work in order to protect the claimant or the               claimant’s immediate family members from harassment or    violence;</w:t>
      </w:r>
    </w:p>
    <w:p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(7)</w:t>
      </w:r>
      <w:r w:rsidRPr="00D82DF6">
        <w:rPr>
          <w:rFonts w:ascii="Bookman Old Style" w:hAnsi="Bookman Old Style"/>
          <w:snapToGrid/>
          <w:szCs w:val="24"/>
        </w:rPr>
        <w:tab/>
        <w:t xml:space="preserve">leaving work to accept a bonafide offer of </w:t>
      </w:r>
      <w:r w:rsidR="003311C5">
        <w:rPr>
          <w:rFonts w:ascii="Bookman Old Style" w:hAnsi="Bookman Old Style"/>
          <w:snapToGrid/>
          <w:szCs w:val="24"/>
        </w:rPr>
        <w:t xml:space="preserve">work that offers      </w:t>
      </w:r>
      <w:r w:rsidRPr="00D82DF6">
        <w:rPr>
          <w:rFonts w:ascii="Bookman Old Style" w:hAnsi="Bookman Old Style"/>
          <w:snapToGrid/>
          <w:szCs w:val="24"/>
        </w:rPr>
        <w:t>better wages, benefits, hours, o</w:t>
      </w:r>
      <w:r w:rsidR="003311C5">
        <w:rPr>
          <w:rFonts w:ascii="Bookman Old Style" w:hAnsi="Bookman Old Style"/>
          <w:snapToGrid/>
          <w:szCs w:val="24"/>
        </w:rPr>
        <w:t xml:space="preserve">r other working conditions; if </w:t>
      </w:r>
      <w:r w:rsidRPr="00D82DF6">
        <w:rPr>
          <w:rFonts w:ascii="Bookman Old Style" w:hAnsi="Bookman Old Style"/>
          <w:snapToGrid/>
          <w:szCs w:val="24"/>
        </w:rPr>
        <w:t xml:space="preserve">the new work does not materialize, the reasons for the work  not materializing must not be due to the fault of the worker; </w:t>
      </w:r>
    </w:p>
    <w:p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(8)</w:t>
      </w:r>
      <w:r w:rsidRPr="00D82DF6">
        <w:rPr>
          <w:rFonts w:ascii="Bookman Old Style" w:hAnsi="Bookman Old Style"/>
          <w:snapToGrid/>
          <w:szCs w:val="24"/>
        </w:rPr>
        <w:tab/>
        <w:t>other factors listed in AS 23.20.385(b).</w:t>
      </w:r>
    </w:p>
    <w:p w:rsidR="003E7E91" w:rsidRPr="00D82DF6" w:rsidRDefault="003E7E91" w:rsidP="00D82DF6">
      <w:pPr>
        <w:widowControl/>
        <w:autoSpaceDE w:val="0"/>
        <w:autoSpaceDN w:val="0"/>
        <w:adjustRightInd w:val="0"/>
        <w:rPr>
          <w:rFonts w:ascii="Bookman Old Style" w:hAnsi="Bookman Old Style"/>
          <w:b/>
          <w:snapToGrid/>
          <w:szCs w:val="24"/>
        </w:rPr>
      </w:pPr>
    </w:p>
    <w:p w:rsidR="003E7E91" w:rsidRPr="00D82DF6" w:rsidRDefault="003E7E91" w:rsidP="00D82DF6">
      <w:pPr>
        <w:widowControl/>
        <w:autoSpaceDE w:val="0"/>
        <w:autoSpaceDN w:val="0"/>
        <w:adjustRightInd w:val="0"/>
        <w:rPr>
          <w:rFonts w:ascii="Bookman Old Style" w:hAnsi="Bookman Old Style"/>
          <w:b/>
          <w:snapToGrid/>
          <w:szCs w:val="24"/>
        </w:rPr>
      </w:pPr>
      <w:r w:rsidRPr="00D82DF6">
        <w:rPr>
          <w:rFonts w:ascii="Bookman Old Style" w:hAnsi="Bookman Old Style"/>
          <w:b/>
          <w:snapToGrid/>
          <w:szCs w:val="24"/>
        </w:rPr>
        <w:t>AS 23.20.385(b) provides, in part:</w:t>
      </w:r>
    </w:p>
    <w:p w:rsidR="003E7E91" w:rsidRPr="00D82DF6" w:rsidRDefault="003E7E91" w:rsidP="00D82DF6">
      <w:pPr>
        <w:widowControl/>
        <w:autoSpaceDE w:val="0"/>
        <w:autoSpaceDN w:val="0"/>
        <w:adjustRightInd w:val="0"/>
        <w:rPr>
          <w:rFonts w:ascii="Bookman Old Style" w:hAnsi="Bookman Old Style"/>
          <w:snapToGrid/>
          <w:szCs w:val="24"/>
        </w:rPr>
      </w:pPr>
    </w:p>
    <w:p w:rsidR="003E7E91"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(b) </w:t>
      </w:r>
      <w:r w:rsidRPr="00D82DF6">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other factors that influence a reasonably prudent person in the claimant's circumstances.</w:t>
      </w:r>
    </w:p>
    <w:p w:rsidR="0080245E" w:rsidRPr="00D82DF6" w:rsidRDefault="0080245E" w:rsidP="00D82DF6">
      <w:pPr>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CONCLUSION</w:t>
      </w:r>
    </w:p>
    <w:p w:rsidR="00441439" w:rsidRPr="00D82DF6" w:rsidRDefault="00441439" w:rsidP="00D82DF6">
      <w:pPr>
        <w:rPr>
          <w:rFonts w:ascii="Bookman Old Style" w:hAnsi="Bookman Old Style"/>
          <w:szCs w:val="24"/>
        </w:rPr>
      </w:pPr>
    </w:p>
    <w:p w:rsidR="00441439" w:rsidRDefault="00C7475A" w:rsidP="00D82DF6">
      <w:pPr>
        <w:suppressAutoHyphens/>
        <w:rPr>
          <w:rFonts w:ascii="Bookman Old Style" w:hAnsi="Bookman Old Style"/>
          <w:spacing w:val="-3"/>
          <w:szCs w:val="24"/>
        </w:rPr>
      </w:pPr>
      <w:r>
        <w:rPr>
          <w:rFonts w:ascii="Bookman Old Style" w:hAnsi="Bookman Old Style"/>
          <w:spacing w:val="-3"/>
          <w:szCs w:val="24"/>
        </w:rPr>
        <w:t xml:space="preserve">The claimant in this case voluntarily quit work because she was concerned about student behavior </w:t>
      </w:r>
      <w:r w:rsidR="00F97AF4">
        <w:rPr>
          <w:rFonts w:ascii="Bookman Old Style" w:hAnsi="Bookman Old Style"/>
          <w:spacing w:val="-3"/>
          <w:szCs w:val="24"/>
        </w:rPr>
        <w:t xml:space="preserve">and the possible impacts on her reputation </w:t>
      </w:r>
      <w:r>
        <w:rPr>
          <w:rFonts w:ascii="Bookman Old Style" w:hAnsi="Bookman Old Style"/>
          <w:spacing w:val="-3"/>
          <w:szCs w:val="24"/>
        </w:rPr>
        <w:t xml:space="preserve">and she did not feel her supervisor was </w:t>
      </w:r>
      <w:r w:rsidR="00F97AF4">
        <w:rPr>
          <w:rFonts w:ascii="Bookman Old Style" w:hAnsi="Bookman Old Style"/>
          <w:spacing w:val="-3"/>
          <w:szCs w:val="24"/>
        </w:rPr>
        <w:t>supporting her</w:t>
      </w:r>
      <w:r>
        <w:rPr>
          <w:rFonts w:ascii="Bookman Old Style" w:hAnsi="Bookman Old Style"/>
          <w:spacing w:val="-3"/>
          <w:szCs w:val="24"/>
        </w:rPr>
        <w:t xml:space="preserve">. </w:t>
      </w:r>
    </w:p>
    <w:p w:rsidR="00C7475A" w:rsidRDefault="00C7475A" w:rsidP="00D82DF6">
      <w:pPr>
        <w:suppressAutoHyphens/>
        <w:rPr>
          <w:rFonts w:ascii="Bookman Old Style" w:hAnsi="Bookman Old Style"/>
          <w:spacing w:val="-3"/>
          <w:szCs w:val="24"/>
        </w:rPr>
      </w:pPr>
    </w:p>
    <w:p w:rsidR="00C7475A" w:rsidRPr="00C7475A" w:rsidRDefault="00C7475A" w:rsidP="00C7475A">
      <w:pPr>
        <w:ind w:left="720"/>
        <w:rPr>
          <w:rFonts w:ascii="Bookman Old Style" w:hAnsi="Bookman Old Style"/>
          <w:i/>
          <w:szCs w:val="24"/>
        </w:rPr>
      </w:pPr>
      <w:r w:rsidRPr="00C7475A">
        <w:rPr>
          <w:rFonts w:ascii="Bookman Old Style" w:hAnsi="Bookman Old Style"/>
          <w:i/>
          <w:szCs w:val="24"/>
        </w:rPr>
        <w:t xml:space="preserve">“It is a long standing holding of the Department that even if a claimant establishes good cause for leaving work, it must still be determined that the worker pursued reasonable alternatives in an effort to preserve the employment relationship. </w:t>
      </w:r>
      <w:r w:rsidRPr="00C7475A">
        <w:rPr>
          <w:rFonts w:ascii="Bookman Old Style" w:hAnsi="Bookman Old Style"/>
          <w:i/>
          <w:szCs w:val="24"/>
          <w:u w:val="single"/>
        </w:rPr>
        <w:t>Walsh</w:t>
      </w:r>
      <w:r>
        <w:rPr>
          <w:rFonts w:ascii="Bookman Old Style" w:hAnsi="Bookman Old Style"/>
          <w:i/>
          <w:szCs w:val="24"/>
        </w:rPr>
        <w:t>, Co</w:t>
      </w:r>
      <w:r w:rsidRPr="00C7475A">
        <w:rPr>
          <w:rFonts w:ascii="Bookman Old Style" w:hAnsi="Bookman Old Style"/>
          <w:i/>
          <w:szCs w:val="24"/>
        </w:rPr>
        <w:t xml:space="preserve">m. Decision 88H-UI-011, March 15, 1988. That is not to say the claimant must pursue all alternatives, but when an employer has a grievance policy in place and communicates that to the employees, a </w:t>
      </w:r>
      <w:r w:rsidRPr="00C7475A">
        <w:rPr>
          <w:rFonts w:ascii="Bookman Old Style" w:hAnsi="Bookman Old Style"/>
          <w:i/>
          <w:szCs w:val="24"/>
          <w:u w:val="single"/>
        </w:rPr>
        <w:t>reasonable</w:t>
      </w:r>
      <w:r w:rsidRPr="00C7475A">
        <w:rPr>
          <w:rFonts w:ascii="Bookman Old Style" w:hAnsi="Bookman Old Style"/>
          <w:i/>
          <w:szCs w:val="24"/>
        </w:rPr>
        <w:t xml:space="preserve"> alternative to quitting would be to pursue such a grievance.” </w:t>
      </w:r>
      <w:r w:rsidRPr="00C7475A">
        <w:rPr>
          <w:rFonts w:ascii="Bookman Old Style" w:hAnsi="Bookman Old Style"/>
          <w:i/>
          <w:szCs w:val="24"/>
          <w:u w:val="single"/>
        </w:rPr>
        <w:t>Stiehm</w:t>
      </w:r>
      <w:r>
        <w:rPr>
          <w:rFonts w:ascii="Bookman Old Style" w:hAnsi="Bookman Old Style"/>
          <w:i/>
          <w:szCs w:val="24"/>
        </w:rPr>
        <w:t>, Co</w:t>
      </w:r>
      <w:r w:rsidRPr="00C7475A">
        <w:rPr>
          <w:rFonts w:ascii="Bookman Old Style" w:hAnsi="Bookman Old Style"/>
          <w:i/>
          <w:szCs w:val="24"/>
        </w:rPr>
        <w:t xml:space="preserve">m. Dec. 9427588, July 29, 1994, affirmed in </w:t>
      </w:r>
      <w:r w:rsidRPr="00C7475A">
        <w:rPr>
          <w:rFonts w:ascii="Bookman Old Style" w:hAnsi="Bookman Old Style"/>
          <w:i/>
          <w:szCs w:val="24"/>
          <w:u w:val="single"/>
        </w:rPr>
        <w:t>Kalen-Brown</w:t>
      </w:r>
      <w:r w:rsidRPr="00C7475A">
        <w:rPr>
          <w:rFonts w:ascii="Bookman Old Style" w:hAnsi="Bookman Old Style"/>
          <w:i/>
          <w:szCs w:val="24"/>
        </w:rPr>
        <w:t>, Comm. Dec. 04 1952, December 13, 2004.</w:t>
      </w:r>
      <w:r w:rsidRPr="00C7475A">
        <w:rPr>
          <w:rFonts w:ascii="Bookman Old Style" w:hAnsi="Bookman Old Style"/>
          <w:i/>
          <w:szCs w:val="24"/>
        </w:rPr>
        <w:tab/>
      </w:r>
    </w:p>
    <w:p w:rsidR="00C7475A" w:rsidRPr="00C7475A" w:rsidRDefault="00C7475A" w:rsidP="00C7475A">
      <w:pPr>
        <w:widowControl/>
        <w:suppressAutoHyphens/>
        <w:ind w:left="720"/>
        <w:rPr>
          <w:rFonts w:ascii="Bookman Old Style" w:hAnsi="Bookman Old Style"/>
          <w:i/>
          <w:szCs w:val="24"/>
        </w:rPr>
      </w:pPr>
    </w:p>
    <w:p w:rsidR="00C7475A" w:rsidRPr="00C7475A" w:rsidRDefault="00C7475A" w:rsidP="00C7475A">
      <w:pPr>
        <w:tabs>
          <w:tab w:val="left" w:pos="720"/>
          <w:tab w:val="left" w:pos="1440"/>
          <w:tab w:val="left" w:pos="2160"/>
          <w:tab w:val="left" w:pos="5587"/>
        </w:tabs>
        <w:suppressAutoHyphens/>
        <w:ind w:left="720"/>
        <w:rPr>
          <w:rFonts w:ascii="Bookman Old Style" w:hAnsi="Bookman Old Style"/>
          <w:i/>
        </w:rPr>
      </w:pPr>
      <w:r w:rsidRPr="00C7475A">
        <w:rPr>
          <w:rFonts w:ascii="Bookman Old Style" w:hAnsi="Bookman Old Style"/>
          <w:i/>
        </w:rPr>
        <w:t xml:space="preserve">We have ruled in cases similar to this that even where a worker has an adequate reason for leaving work, the worker must attempt to remedy the situation before leaving in order to escape disqualification under AS 23.20.379. The worker must give the employer a chance to remedy his grievance. </w:t>
      </w:r>
      <w:r w:rsidRPr="00C7475A">
        <w:rPr>
          <w:rFonts w:ascii="Bookman Old Style" w:hAnsi="Bookman Old Style"/>
          <w:i/>
          <w:u w:val="single"/>
        </w:rPr>
        <w:t>Larson</w:t>
      </w:r>
      <w:r>
        <w:rPr>
          <w:rFonts w:ascii="Bookman Old Style" w:hAnsi="Bookman Old Style"/>
          <w:i/>
        </w:rPr>
        <w:t>, Co</w:t>
      </w:r>
      <w:r w:rsidRPr="00C7475A">
        <w:rPr>
          <w:rFonts w:ascii="Bookman Old Style" w:hAnsi="Bookman Old Style"/>
          <w:i/>
        </w:rPr>
        <w:t xml:space="preserve">m. Dec. 9121530, Nov. 8, 1991, affirmed, </w:t>
      </w:r>
      <w:r w:rsidRPr="00C7475A">
        <w:rPr>
          <w:rFonts w:ascii="Bookman Old Style" w:hAnsi="Bookman Old Style"/>
          <w:i/>
          <w:u w:val="single"/>
        </w:rPr>
        <w:t>Larson v. Employment Security Division</w:t>
      </w:r>
      <w:r w:rsidRPr="00C7475A">
        <w:rPr>
          <w:rFonts w:ascii="Bookman Old Style" w:hAnsi="Bookman Old Style"/>
          <w:i/>
        </w:rPr>
        <w:t>, Superior Court 3JD No. 3 KN-91-1065 civil, March 4, 1993.</w:t>
      </w:r>
      <w:r w:rsidRPr="00C7475A">
        <w:rPr>
          <w:rFonts w:ascii="Bookman Old Style" w:hAnsi="Bookman Old Style"/>
          <w:i/>
        </w:rPr>
        <w:fldChar w:fldCharType="begin"/>
      </w:r>
      <w:r w:rsidRPr="00C7475A">
        <w:rPr>
          <w:rFonts w:ascii="Bookman Old Style" w:hAnsi="Bookman Old Style"/>
          <w:i/>
        </w:rPr>
        <w:instrText xml:space="preserve">PRIVATE </w:instrText>
      </w:r>
      <w:r w:rsidRPr="00C7475A">
        <w:rPr>
          <w:rFonts w:ascii="Bookman Old Style" w:hAnsi="Bookman Old Style"/>
          <w:i/>
        </w:rPr>
      </w:r>
      <w:r w:rsidRPr="00C7475A">
        <w:rPr>
          <w:rFonts w:ascii="Bookman Old Style" w:hAnsi="Bookman Old Style"/>
          <w:i/>
        </w:rPr>
        <w:fldChar w:fldCharType="end"/>
      </w:r>
    </w:p>
    <w:p w:rsidR="00C7475A" w:rsidRDefault="00C7475A" w:rsidP="00C7475A">
      <w:pPr>
        <w:widowControl/>
        <w:suppressAutoHyphens/>
        <w:rPr>
          <w:rFonts w:ascii="Bookman Old Style" w:hAnsi="Bookman Old Style"/>
          <w:szCs w:val="24"/>
        </w:rPr>
      </w:pPr>
    </w:p>
    <w:p w:rsidR="00C7475A" w:rsidRPr="00C23A75" w:rsidRDefault="00C371D8" w:rsidP="00C7475A">
      <w:pPr>
        <w:widowControl/>
        <w:suppressAutoHyphens/>
        <w:rPr>
          <w:rFonts w:ascii="Bookman Old Style" w:hAnsi="Bookman Old Style"/>
          <w:szCs w:val="24"/>
        </w:rPr>
      </w:pPr>
      <w:r>
        <w:rPr>
          <w:rFonts w:ascii="Bookman Old Style" w:hAnsi="Bookman Old Style"/>
          <w:szCs w:val="24"/>
        </w:rPr>
        <w:t xml:space="preserve">The claimant felt her supervisor was not handling the matter correctly, but she did not </w:t>
      </w:r>
      <w:r w:rsidR="00F97AF4">
        <w:rPr>
          <w:rFonts w:ascii="Bookman Old Style" w:hAnsi="Bookman Old Style"/>
          <w:szCs w:val="24"/>
        </w:rPr>
        <w:t xml:space="preserve">attempt to </w:t>
      </w:r>
      <w:r>
        <w:rPr>
          <w:rFonts w:ascii="Bookman Old Style" w:hAnsi="Bookman Old Style"/>
          <w:szCs w:val="24"/>
        </w:rPr>
        <w:t xml:space="preserve">take the matter above him.  </w:t>
      </w:r>
      <w:r w:rsidR="00C7475A">
        <w:rPr>
          <w:rFonts w:ascii="Bookman Old Style" w:hAnsi="Bookman Old Style"/>
          <w:szCs w:val="24"/>
        </w:rPr>
        <w:t xml:space="preserve">The employer had a formal complaint process available, but the claimant chose not to pursue that reasonable alternative until after she had quit the work.  It is the conclusion of the </w:t>
      </w:r>
      <w:r w:rsidR="00C7475A" w:rsidRPr="00C23A75">
        <w:rPr>
          <w:rFonts w:ascii="Bookman Old Style" w:hAnsi="Bookman Old Style"/>
          <w:szCs w:val="24"/>
        </w:rPr>
        <w:t xml:space="preserve">Tribunal that </w:t>
      </w:r>
      <w:r w:rsidR="00C7475A">
        <w:rPr>
          <w:rFonts w:ascii="Bookman Old Style" w:hAnsi="Bookman Old Style"/>
          <w:szCs w:val="24"/>
        </w:rPr>
        <w:t>the claimant</w:t>
      </w:r>
      <w:r w:rsidR="00C7475A" w:rsidRPr="00C23A75">
        <w:rPr>
          <w:rFonts w:ascii="Bookman Old Style" w:hAnsi="Bookman Old Style"/>
          <w:szCs w:val="24"/>
        </w:rPr>
        <w:t xml:space="preserve"> voluntarily quit work with</w:t>
      </w:r>
      <w:r w:rsidR="00C7475A">
        <w:rPr>
          <w:rFonts w:ascii="Bookman Old Style" w:hAnsi="Bookman Old Style"/>
          <w:szCs w:val="24"/>
        </w:rPr>
        <w:t xml:space="preserve">out </w:t>
      </w:r>
      <w:r w:rsidR="00C7475A">
        <w:rPr>
          <w:rFonts w:ascii="Bookman Old Style" w:hAnsi="Bookman Old Style"/>
          <w:szCs w:val="24"/>
        </w:rPr>
        <w:t>good cause and the penalties of AS 23.20.379 are appropriate.</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DECISION</w:t>
      </w:r>
    </w:p>
    <w:p w:rsidR="00D82DF6" w:rsidRPr="00D82DF6" w:rsidRDefault="00D82DF6" w:rsidP="00D82DF6">
      <w:pPr>
        <w:tabs>
          <w:tab w:val="left" w:pos="-1440"/>
          <w:tab w:val="left" w:pos="-720"/>
        </w:tabs>
        <w:suppressAutoHyphens/>
        <w:ind w:right="-360"/>
        <w:rPr>
          <w:rFonts w:ascii="Bookman Old Style" w:hAnsi="Bookman Old Style"/>
          <w:szCs w:val="24"/>
        </w:rPr>
      </w:pPr>
    </w:p>
    <w:p w:rsidR="00D82DF6" w:rsidRPr="00D82DF6" w:rsidRDefault="00D82DF6" w:rsidP="00D82DF6">
      <w:pPr>
        <w:tabs>
          <w:tab w:val="left" w:pos="-1440"/>
          <w:tab w:val="left" w:pos="-720"/>
        </w:tabs>
        <w:suppressAutoHyphens/>
        <w:ind w:right="-360"/>
        <w:rPr>
          <w:rFonts w:ascii="Bookman Old Style" w:hAnsi="Bookman Old Style"/>
          <w:szCs w:val="24"/>
        </w:rPr>
      </w:pPr>
      <w:r w:rsidRPr="00D82DF6">
        <w:rPr>
          <w:rFonts w:ascii="Bookman Old Style" w:hAnsi="Bookman Old Style"/>
          <w:szCs w:val="24"/>
        </w:rPr>
        <w:t xml:space="preserve">The determination issued on </w:t>
      </w:r>
      <w:r w:rsidR="00C7475A">
        <w:rPr>
          <w:rFonts w:ascii="Bookman Old Style" w:hAnsi="Bookman Old Style"/>
          <w:szCs w:val="24"/>
        </w:rPr>
        <w:t>June 10, 2019</w:t>
      </w:r>
      <w:r w:rsidRPr="00D82DF6">
        <w:rPr>
          <w:rFonts w:ascii="Bookman Old Style" w:hAnsi="Bookman Old Style"/>
          <w:szCs w:val="24"/>
        </w:rPr>
        <w:t xml:space="preserve"> is </w:t>
      </w:r>
      <w:r w:rsidR="00C7475A">
        <w:rPr>
          <w:rFonts w:ascii="Bookman Old Style" w:hAnsi="Bookman Old Style"/>
          <w:b/>
          <w:szCs w:val="24"/>
        </w:rPr>
        <w:t>AFFIRMED</w:t>
      </w:r>
      <w:r w:rsidRPr="00D82DF6">
        <w:rPr>
          <w:rFonts w:ascii="Bookman Old Style" w:hAnsi="Bookman Old Style"/>
          <w:b/>
          <w:szCs w:val="24"/>
        </w:rPr>
        <w:t xml:space="preserve">. </w:t>
      </w:r>
      <w:r w:rsidRPr="00D82DF6">
        <w:rPr>
          <w:rFonts w:ascii="Bookman Old Style" w:hAnsi="Bookman Old Style"/>
          <w:szCs w:val="24"/>
        </w:rPr>
        <w:t xml:space="preserve">Benefits </w:t>
      </w:r>
      <w:r w:rsidR="00C7475A">
        <w:rPr>
          <w:rFonts w:ascii="Bookman Old Style" w:hAnsi="Bookman Old Style"/>
          <w:szCs w:val="24"/>
        </w:rPr>
        <w:t>remain</w:t>
      </w:r>
      <w:r w:rsidRPr="00D82DF6">
        <w:rPr>
          <w:rFonts w:ascii="Bookman Old Style" w:hAnsi="Bookman Old Style"/>
          <w:szCs w:val="24"/>
        </w:rPr>
        <w:t xml:space="preserve"> </w:t>
      </w:r>
      <w:r w:rsidRPr="00C7475A">
        <w:rPr>
          <w:rFonts w:ascii="Bookman Old Style" w:hAnsi="Bookman Old Style"/>
          <w:b/>
          <w:szCs w:val="24"/>
        </w:rPr>
        <w:t>DENIED</w:t>
      </w:r>
      <w:r w:rsidRPr="00D82DF6">
        <w:rPr>
          <w:rFonts w:ascii="Bookman Old Style" w:hAnsi="Bookman Old Style"/>
          <w:szCs w:val="24"/>
        </w:rPr>
        <w:t xml:space="preserve"> for the weeks ending </w:t>
      </w:r>
      <w:r w:rsidR="00C7475A">
        <w:rPr>
          <w:rFonts w:ascii="Bookman Old Style" w:hAnsi="Bookman Old Style"/>
          <w:szCs w:val="24"/>
        </w:rPr>
        <w:t>March 23, 2019 through April 27, 2019</w:t>
      </w:r>
      <w:r w:rsidRPr="00D82DF6">
        <w:rPr>
          <w:rFonts w:ascii="Bookman Old Style" w:hAnsi="Bookman Old Style"/>
          <w:szCs w:val="24"/>
        </w:rPr>
        <w:t xml:space="preserve">. The three weeks </w:t>
      </w:r>
      <w:r w:rsidR="00C7475A">
        <w:rPr>
          <w:rFonts w:ascii="Bookman Old Style" w:hAnsi="Bookman Old Style"/>
          <w:szCs w:val="24"/>
        </w:rPr>
        <w:t>remain</w:t>
      </w:r>
      <w:r w:rsidRPr="00D82DF6">
        <w:rPr>
          <w:rFonts w:ascii="Bookman Old Style" w:hAnsi="Bookman Old Style"/>
          <w:szCs w:val="24"/>
        </w:rPr>
        <w:t xml:space="preserve"> reduced from the claimant’s maximum benefits. The claimant may not be eligible for extended benefits under AS 23.20.406-409.</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APPEAL RIGHTS</w:t>
      </w:r>
    </w:p>
    <w:p w:rsidR="00441439" w:rsidRPr="00D82DF6" w:rsidRDefault="00441439" w:rsidP="00D82DF6">
      <w:pPr>
        <w:tabs>
          <w:tab w:val="left" w:pos="-1440"/>
          <w:tab w:val="left" w:pos="-720"/>
        </w:tabs>
        <w:rPr>
          <w:rFonts w:ascii="Bookman Old Style" w:hAnsi="Bookman Old Style"/>
          <w:szCs w:val="24"/>
        </w:rPr>
      </w:pPr>
    </w:p>
    <w:p w:rsidR="00D82DF6" w:rsidRPr="00D82DF6" w:rsidRDefault="00D82DF6" w:rsidP="00D82DF6">
      <w:pPr>
        <w:rPr>
          <w:rFonts w:ascii="Bookman Old Style" w:hAnsi="Bookman Old Style"/>
          <w:szCs w:val="24"/>
        </w:rPr>
      </w:pPr>
      <w:r w:rsidRPr="00D82DF6">
        <w:rPr>
          <w:rFonts w:ascii="Bookman Old Style" w:hAnsi="Bookman Old Style"/>
          <w:szCs w:val="24"/>
        </w:rPr>
        <w:t xml:space="preserve">This decision is final unless an appeal is filed in writing to the Commissioner of Labor and Workforce Development </w:t>
      </w:r>
      <w:r w:rsidRPr="00D82DF6">
        <w:rPr>
          <w:rFonts w:ascii="Bookman Old Style" w:hAnsi="Bookman Old Style"/>
          <w:b/>
          <w:szCs w:val="24"/>
          <w:u w:val="single"/>
        </w:rPr>
        <w:t>within 30 days</w:t>
      </w:r>
      <w:r w:rsidRPr="00D82DF6">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B24371" w:rsidP="00D82DF6">
      <w:pPr>
        <w:tabs>
          <w:tab w:val="left" w:pos="-1440"/>
          <w:tab w:val="left" w:pos="-720"/>
        </w:tabs>
        <w:rPr>
          <w:rFonts w:ascii="Bookman Old Style" w:hAnsi="Bookman Old Style"/>
          <w:szCs w:val="24"/>
        </w:rPr>
      </w:pPr>
      <w:r w:rsidRPr="00D82DF6">
        <w:rPr>
          <w:rFonts w:ascii="Bookman Old Style" w:hAnsi="Bookman Old Style"/>
          <w:szCs w:val="24"/>
        </w:rPr>
        <w:t>Dated and m</w:t>
      </w:r>
      <w:r w:rsidR="00441439" w:rsidRPr="00D82DF6">
        <w:rPr>
          <w:rFonts w:ascii="Bookman Old Style" w:hAnsi="Bookman Old Style"/>
          <w:szCs w:val="24"/>
        </w:rPr>
        <w:t xml:space="preserve">ailed on </w:t>
      </w:r>
      <w:r w:rsidR="00C7475A">
        <w:rPr>
          <w:rFonts w:ascii="Bookman Old Style" w:hAnsi="Bookman Old Style"/>
          <w:szCs w:val="24"/>
        </w:rPr>
        <w:t>July 22, 2019</w:t>
      </w:r>
      <w:r w:rsidR="00441439" w:rsidRPr="00D82DF6">
        <w:rPr>
          <w:rFonts w:ascii="Bookman Old Style" w:hAnsi="Bookman Old Style"/>
          <w:szCs w:val="24"/>
        </w:rPr>
        <w:t>.</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 xml:space="preserve">       </w:t>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tabs>
          <w:tab w:val="left" w:pos="-1440"/>
          <w:tab w:val="left" w:pos="-720"/>
        </w:tabs>
        <w:rPr>
          <w:rFonts w:ascii="Bookman Old Style" w:hAnsi="Bookman Old Style"/>
          <w:szCs w:val="24"/>
        </w:rPr>
      </w:pPr>
    </w:p>
    <w:p w:rsidR="00774034"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r w:rsidR="00C7475A">
        <w:rPr>
          <w:rFonts w:ascii="Bookman Old Style" w:hAnsi="Bookman Old Style"/>
          <w:szCs w:val="24"/>
        </w:rPr>
        <w:t>R</w:t>
      </w:r>
      <w:r w:rsidR="00F97AF4">
        <w:rPr>
          <w:rFonts w:ascii="Bookman Old Style" w:hAnsi="Bookman Old Style"/>
          <w:szCs w:val="24"/>
        </w:rPr>
        <w:t>honda Buness</w:t>
      </w:r>
      <w:r w:rsidRPr="00D82DF6">
        <w:rPr>
          <w:rFonts w:ascii="Bookman Old Style" w:hAnsi="Bookman Old Style"/>
          <w:szCs w:val="24"/>
        </w:rPr>
        <w:t xml:space="preserve">, </w:t>
      </w:r>
      <w:r w:rsidR="00003DC3">
        <w:rPr>
          <w:rFonts w:ascii="Bookman Old Style" w:hAnsi="Bookman Old Style"/>
          <w:szCs w:val="24"/>
        </w:rPr>
        <w:t>Appeals</w:t>
      </w:r>
      <w:r w:rsidRPr="00D82DF6">
        <w:rPr>
          <w:rFonts w:ascii="Bookman Old Style" w:hAnsi="Bookman Old Style"/>
          <w:szCs w:val="24"/>
        </w:rPr>
        <w:t xml:space="preserve"> Officer</w:t>
      </w:r>
    </w:p>
    <w:sectPr w:rsidR="00774034" w:rsidRPr="00D82DF6">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364" w:rsidRDefault="00132364">
      <w:pPr>
        <w:widowControl/>
        <w:spacing w:line="20" w:lineRule="exact"/>
      </w:pPr>
    </w:p>
  </w:endnote>
  <w:endnote w:type="continuationSeparator" w:id="0">
    <w:p w:rsidR="00132364" w:rsidRDefault="00132364">
      <w:r>
        <w:t xml:space="preserve"> </w:t>
      </w:r>
    </w:p>
  </w:endnote>
  <w:endnote w:type="continuationNotice" w:id="1">
    <w:p w:rsidR="00132364" w:rsidRDefault="0013236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364" w:rsidRDefault="00132364">
      <w:r>
        <w:separator/>
      </w:r>
    </w:p>
  </w:footnote>
  <w:footnote w:type="continuationSeparator" w:id="0">
    <w:p w:rsidR="00132364" w:rsidRDefault="00132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A2" w:rsidRPr="00B554BF" w:rsidRDefault="00326C97">
    <w:pPr>
      <w:pStyle w:val="Header"/>
      <w:rPr>
        <w:rFonts w:ascii="Bookman Old Style" w:hAnsi="Bookman Old Style"/>
      </w:rPr>
    </w:pPr>
    <w:r>
      <w:rPr>
        <w:rFonts w:ascii="Bookman Old Style" w:hAnsi="Bookman Old Style"/>
      </w:rPr>
      <w:t>Docket #</w:t>
    </w:r>
    <w:r w:rsidR="005F1D92">
      <w:rPr>
        <w:rFonts w:ascii="Bookman Old Style" w:hAnsi="Bookman Old Style"/>
      </w:rPr>
      <w:t xml:space="preserve"> </w:t>
    </w:r>
    <w:r w:rsidR="003773BD">
      <w:rPr>
        <w:rFonts w:ascii="Bookman Old Style" w:hAnsi="Bookman Old Style"/>
      </w:rPr>
      <w:t>19 0582</w:t>
    </w:r>
  </w:p>
  <w:p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F97AF4">
      <w:rPr>
        <w:rStyle w:val="PageNumber"/>
        <w:rFonts w:ascii="Bookman Old Style" w:hAnsi="Bookman Old Style"/>
        <w:noProof/>
      </w:rPr>
      <w:t>2</w:t>
    </w:r>
    <w:r w:rsidRPr="00B554BF">
      <w:rPr>
        <w:rStyle w:val="PageNumber"/>
        <w:rFonts w:ascii="Bookman Old Style" w:hAnsi="Bookman Old Style"/>
      </w:rPr>
      <w:fldChar w:fldCharType="end"/>
    </w:r>
  </w:p>
  <w:p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4"/>
  </w:num>
  <w:num w:numId="2">
    <w:abstractNumId w:val="6"/>
  </w:num>
  <w:num w:numId="3">
    <w:abstractNumId w:val="0"/>
  </w:num>
  <w:num w:numId="4">
    <w:abstractNumId w:val="1"/>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364"/>
    <w:rsid w:val="00003DC3"/>
    <w:rsid w:val="00026FBD"/>
    <w:rsid w:val="00027F9D"/>
    <w:rsid w:val="00086907"/>
    <w:rsid w:val="000D3B41"/>
    <w:rsid w:val="000D73C2"/>
    <w:rsid w:val="000F5712"/>
    <w:rsid w:val="00132364"/>
    <w:rsid w:val="00145E88"/>
    <w:rsid w:val="00193EB9"/>
    <w:rsid w:val="001B73F6"/>
    <w:rsid w:val="002529B9"/>
    <w:rsid w:val="002A3C37"/>
    <w:rsid w:val="002C42D3"/>
    <w:rsid w:val="002D5A94"/>
    <w:rsid w:val="0031012B"/>
    <w:rsid w:val="003115E0"/>
    <w:rsid w:val="00326C97"/>
    <w:rsid w:val="003311C5"/>
    <w:rsid w:val="003773BD"/>
    <w:rsid w:val="00382877"/>
    <w:rsid w:val="003A5235"/>
    <w:rsid w:val="003B709B"/>
    <w:rsid w:val="003C0ED2"/>
    <w:rsid w:val="003E7E91"/>
    <w:rsid w:val="00405A16"/>
    <w:rsid w:val="00441439"/>
    <w:rsid w:val="00456806"/>
    <w:rsid w:val="004758FD"/>
    <w:rsid w:val="004B0A1E"/>
    <w:rsid w:val="005A281D"/>
    <w:rsid w:val="005A4355"/>
    <w:rsid w:val="005F1D92"/>
    <w:rsid w:val="00661D7B"/>
    <w:rsid w:val="00765551"/>
    <w:rsid w:val="00774034"/>
    <w:rsid w:val="007B6D0C"/>
    <w:rsid w:val="007C0440"/>
    <w:rsid w:val="0080245E"/>
    <w:rsid w:val="008B1CA2"/>
    <w:rsid w:val="008B45DB"/>
    <w:rsid w:val="008F3C72"/>
    <w:rsid w:val="00932DE9"/>
    <w:rsid w:val="009639E3"/>
    <w:rsid w:val="00A51932"/>
    <w:rsid w:val="00A66D6A"/>
    <w:rsid w:val="00AA0015"/>
    <w:rsid w:val="00AD5C90"/>
    <w:rsid w:val="00B23E70"/>
    <w:rsid w:val="00B24371"/>
    <w:rsid w:val="00B554BF"/>
    <w:rsid w:val="00B85F9D"/>
    <w:rsid w:val="00C371D8"/>
    <w:rsid w:val="00C3767D"/>
    <w:rsid w:val="00C47467"/>
    <w:rsid w:val="00C734D5"/>
    <w:rsid w:val="00C7475A"/>
    <w:rsid w:val="00C81FB9"/>
    <w:rsid w:val="00D025D4"/>
    <w:rsid w:val="00D829CE"/>
    <w:rsid w:val="00D82DF6"/>
    <w:rsid w:val="00DD54FF"/>
    <w:rsid w:val="00DF1DE2"/>
    <w:rsid w:val="00E20AA8"/>
    <w:rsid w:val="00EB0E9D"/>
    <w:rsid w:val="00EB2462"/>
    <w:rsid w:val="00EC3E1C"/>
    <w:rsid w:val="00F2294D"/>
    <w:rsid w:val="00F97AF4"/>
    <w:rsid w:val="00FA6CE0"/>
    <w:rsid w:val="00FD077C"/>
    <w:rsid w:val="00FF4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30687C2"/>
  <w15:chartTrackingRefBased/>
  <w15:docId w15:val="{7DEFECE5-90AE-4EEE-892A-6381C6D9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alloonText">
    <w:name w:val="Balloon Text"/>
    <w:basedOn w:val="Normal"/>
    <w:link w:val="BalloonTextChar"/>
    <w:uiPriority w:val="99"/>
    <w:semiHidden/>
    <w:unhideWhenUsed/>
    <w:rsid w:val="005F1D92"/>
    <w:rPr>
      <w:rFonts w:ascii="Tahoma" w:hAnsi="Tahoma" w:cs="Tahoma"/>
      <w:sz w:val="16"/>
      <w:szCs w:val="16"/>
    </w:rPr>
  </w:style>
  <w:style w:type="character" w:customStyle="1" w:styleId="BalloonTextChar">
    <w:name w:val="Balloon Text Char"/>
    <w:link w:val="BalloonText"/>
    <w:uiPriority w:val="99"/>
    <w:semiHidden/>
    <w:rsid w:val="005F1D92"/>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68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0%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57A787C-E6E2-4DA0-B6F2-2B591186E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VL</Template>
  <TotalTime>1</TotalTime>
  <Pages>4</Pages>
  <Words>1283</Words>
  <Characters>6740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2019-07-22T23:38:00Z</cp:lastPrinted>
  <dcterms:created xsi:type="dcterms:W3CDTF">2019-07-22T23:47:00Z</dcterms:created>
  <dcterms:modified xsi:type="dcterms:W3CDTF">2019-07-22T23:47:00Z</dcterms:modified>
</cp:coreProperties>
</file>