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4E5CBA"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C317CC">
        <w:rPr>
          <w:rFonts w:ascii="Bookman Old Style" w:hAnsi="Bookman Old Style"/>
          <w:szCs w:val="24"/>
        </w:rPr>
        <w:t>19 0632</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C317CC">
        <w:rPr>
          <w:rFonts w:ascii="Bookman Old Style" w:hAnsi="Bookman Old Style"/>
          <w:szCs w:val="24"/>
        </w:rPr>
        <w:t>July 30, 2019</w:t>
      </w:r>
    </w:p>
    <w:p w:rsidR="0016206D" w:rsidRPr="00FB77CC" w:rsidRDefault="0016206D" w:rsidP="00FB77CC">
      <w:pPr>
        <w:tabs>
          <w:tab w:val="left" w:pos="-720"/>
        </w:tabs>
        <w:suppressAutoHyphens/>
        <w:rPr>
          <w:rFonts w:ascii="Bookman Old Style" w:hAnsi="Bookman Old Style"/>
          <w:szCs w:val="24"/>
        </w:rPr>
      </w:pPr>
    </w:p>
    <w:p w:rsidR="0016206D" w:rsidRDefault="0016206D" w:rsidP="004E5CBA">
      <w:pPr>
        <w:tabs>
          <w:tab w:val="left" w:pos="-1440"/>
          <w:tab w:val="left" w:pos="-720"/>
          <w:tab w:val="left" w:pos="0"/>
          <w:tab w:val="left" w:pos="4770"/>
          <w:tab w:val="left" w:pos="5040"/>
          <w:tab w:val="left" w:pos="5760"/>
        </w:tabs>
        <w:suppressAutoHyphens/>
        <w:ind w:right="-360"/>
        <w:outlineLvl w:val="0"/>
        <w:rPr>
          <w:rFonts w:ascii="Bookman Old Style" w:hAnsi="Bookman Old Style"/>
          <w:b/>
          <w:szCs w:val="24"/>
        </w:rPr>
      </w:pPr>
      <w:r w:rsidRPr="00FB77CC">
        <w:rPr>
          <w:rFonts w:ascii="Bookman Old Style" w:hAnsi="Bookman Old Style"/>
          <w:b/>
          <w:szCs w:val="24"/>
        </w:rPr>
        <w:t>CLAIMANT:</w:t>
      </w:r>
      <w:r w:rsidRPr="00FB77CC">
        <w:rPr>
          <w:rFonts w:ascii="Bookman Old Style" w:hAnsi="Bookman Old Style"/>
          <w:b/>
          <w:szCs w:val="24"/>
        </w:rPr>
        <w:tab/>
        <w:t>EMPLOYER</w:t>
      </w:r>
    </w:p>
    <w:p w:rsidR="004E5CBA" w:rsidRPr="00FB77CC" w:rsidRDefault="004E5CBA" w:rsidP="004E5CBA">
      <w:pPr>
        <w:tabs>
          <w:tab w:val="left" w:pos="-1440"/>
          <w:tab w:val="left" w:pos="-720"/>
          <w:tab w:val="left" w:pos="0"/>
          <w:tab w:val="left" w:pos="4770"/>
          <w:tab w:val="left" w:pos="5040"/>
          <w:tab w:val="left" w:pos="5760"/>
        </w:tabs>
        <w:suppressAutoHyphens/>
        <w:ind w:right="-360"/>
        <w:outlineLvl w:val="0"/>
        <w:rPr>
          <w:rFonts w:ascii="Bookman Old Style" w:hAnsi="Bookman Old Style"/>
          <w:szCs w:val="24"/>
        </w:rPr>
      </w:pPr>
    </w:p>
    <w:p w:rsidR="004E5CBA" w:rsidRPr="004E5CBA" w:rsidRDefault="004E5CBA" w:rsidP="004E5CBA">
      <w:pPr>
        <w:tabs>
          <w:tab w:val="left" w:pos="-1440"/>
          <w:tab w:val="left" w:pos="-720"/>
          <w:tab w:val="left" w:pos="0"/>
          <w:tab w:val="left" w:pos="4770"/>
          <w:tab w:val="left" w:pos="5760"/>
        </w:tabs>
        <w:suppressAutoHyphens/>
        <w:ind w:right="-360"/>
        <w:rPr>
          <w:rFonts w:ascii="Bookman Old Style" w:hAnsi="Bookman Old Style"/>
          <w:szCs w:val="24"/>
        </w:rPr>
      </w:pPr>
      <w:r w:rsidRPr="004E5CBA">
        <w:rPr>
          <w:rFonts w:ascii="Bookman Old Style" w:hAnsi="Bookman Old Style"/>
          <w:szCs w:val="24"/>
        </w:rPr>
        <w:t>TRACY CRAIG</w:t>
      </w:r>
      <w:r>
        <w:rPr>
          <w:rFonts w:ascii="Bookman Old Style" w:hAnsi="Bookman Old Style"/>
          <w:szCs w:val="24"/>
        </w:rPr>
        <w:tab/>
      </w:r>
      <w:r w:rsidRPr="004E5CBA">
        <w:rPr>
          <w:rFonts w:ascii="Bookman Old Style" w:hAnsi="Bookman Old Style"/>
          <w:szCs w:val="24"/>
        </w:rPr>
        <w:t>KODIAK ISLAND HOUSING AUTHORITY</w:t>
      </w:r>
    </w:p>
    <w:p w:rsidR="0016206D" w:rsidRDefault="0016206D" w:rsidP="004E5CBA">
      <w:pPr>
        <w:tabs>
          <w:tab w:val="left" w:pos="-1440"/>
          <w:tab w:val="left" w:pos="-720"/>
          <w:tab w:val="left" w:pos="0"/>
          <w:tab w:val="left" w:pos="4770"/>
          <w:tab w:val="left" w:pos="5760"/>
        </w:tabs>
        <w:suppressAutoHyphens/>
        <w:ind w:right="-360"/>
        <w:rPr>
          <w:rFonts w:ascii="Bookman Old Style" w:hAnsi="Bookman Old Style"/>
          <w:szCs w:val="24"/>
        </w:rPr>
      </w:pPr>
    </w:p>
    <w:p w:rsidR="0062093A" w:rsidRDefault="0062093A" w:rsidP="004E5CBA">
      <w:pPr>
        <w:tabs>
          <w:tab w:val="left" w:pos="-1440"/>
          <w:tab w:val="left" w:pos="-720"/>
          <w:tab w:val="left" w:pos="0"/>
          <w:tab w:val="left" w:pos="4770"/>
          <w:tab w:val="left" w:pos="5760"/>
        </w:tabs>
        <w:suppressAutoHyphens/>
        <w:ind w:right="-360"/>
        <w:rPr>
          <w:rFonts w:ascii="Bookman Old Style" w:hAnsi="Bookman Old Style"/>
          <w:szCs w:val="24"/>
        </w:rPr>
      </w:pPr>
    </w:p>
    <w:p w:rsidR="0062093A" w:rsidRPr="00FB77CC" w:rsidRDefault="0062093A" w:rsidP="004E5CBA">
      <w:pPr>
        <w:tabs>
          <w:tab w:val="left" w:pos="-1440"/>
          <w:tab w:val="left" w:pos="-720"/>
          <w:tab w:val="left" w:pos="0"/>
          <w:tab w:val="left" w:pos="4770"/>
          <w:tab w:val="left" w:pos="5760"/>
        </w:tabs>
        <w:suppressAutoHyphens/>
        <w:ind w:right="-360"/>
        <w:rPr>
          <w:rFonts w:ascii="Bookman Old Style" w:hAnsi="Bookman Old Style"/>
          <w:szCs w:val="24"/>
        </w:rPr>
      </w:pPr>
      <w:bookmarkStart w:id="0" w:name="_GoBack"/>
      <w:bookmarkEnd w:id="0"/>
    </w:p>
    <w:p w:rsidR="0016206D" w:rsidRPr="00FB77CC" w:rsidRDefault="0016206D" w:rsidP="004E5CBA">
      <w:pPr>
        <w:tabs>
          <w:tab w:val="left" w:pos="-1440"/>
          <w:tab w:val="left" w:pos="-720"/>
          <w:tab w:val="left" w:pos="0"/>
          <w:tab w:val="left" w:pos="477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4E5CBA">
      <w:pPr>
        <w:tabs>
          <w:tab w:val="left" w:pos="-1440"/>
          <w:tab w:val="left" w:pos="-720"/>
          <w:tab w:val="left" w:pos="0"/>
          <w:tab w:val="left" w:pos="4770"/>
          <w:tab w:val="left" w:pos="5760"/>
        </w:tabs>
        <w:suppressAutoHyphens/>
        <w:ind w:right="-360"/>
        <w:rPr>
          <w:rFonts w:ascii="Bookman Old Style" w:hAnsi="Bookman Old Style"/>
          <w:szCs w:val="24"/>
        </w:rPr>
      </w:pPr>
    </w:p>
    <w:p w:rsidR="0016206D" w:rsidRDefault="004E5CBA" w:rsidP="004E5CBA">
      <w:pPr>
        <w:tabs>
          <w:tab w:val="left" w:pos="-1440"/>
          <w:tab w:val="left" w:pos="-720"/>
          <w:tab w:val="left" w:pos="0"/>
          <w:tab w:val="left" w:pos="4770"/>
          <w:tab w:val="left" w:pos="5040"/>
          <w:tab w:val="left" w:pos="5760"/>
        </w:tabs>
        <w:suppressAutoHyphens/>
        <w:ind w:right="-360"/>
        <w:rPr>
          <w:rFonts w:ascii="Bookman Old Style" w:hAnsi="Bookman Old Style"/>
          <w:szCs w:val="24"/>
        </w:rPr>
      </w:pPr>
      <w:r>
        <w:rPr>
          <w:rFonts w:ascii="Bookman Old Style" w:hAnsi="Bookman Old Style"/>
          <w:szCs w:val="24"/>
        </w:rPr>
        <w:t>Tracy Craig</w:t>
      </w:r>
      <w:r w:rsidR="00C841ED" w:rsidRPr="00FB77CC">
        <w:rPr>
          <w:rFonts w:ascii="Bookman Old Style" w:hAnsi="Bookman Old Style"/>
          <w:szCs w:val="24"/>
        </w:rPr>
        <w:tab/>
      </w:r>
      <w:r>
        <w:rPr>
          <w:rFonts w:ascii="Bookman Old Style" w:hAnsi="Bookman Old Style"/>
          <w:szCs w:val="24"/>
        </w:rPr>
        <w:t>Robert Staufer</w:t>
      </w:r>
    </w:p>
    <w:p w:rsidR="004E5CBA" w:rsidRPr="00FB77CC" w:rsidRDefault="004E5CBA" w:rsidP="004E5CBA">
      <w:pPr>
        <w:tabs>
          <w:tab w:val="left" w:pos="-1440"/>
          <w:tab w:val="left" w:pos="-720"/>
          <w:tab w:val="left" w:pos="0"/>
          <w:tab w:val="left" w:pos="4770"/>
          <w:tab w:val="left" w:pos="5040"/>
          <w:tab w:val="left" w:pos="5760"/>
        </w:tabs>
        <w:suppressAutoHyphens/>
        <w:ind w:right="-360"/>
        <w:rPr>
          <w:rFonts w:ascii="Bookman Old Style" w:hAnsi="Bookman Old Style"/>
          <w:szCs w:val="24"/>
        </w:rPr>
      </w:pPr>
      <w:r>
        <w:rPr>
          <w:rFonts w:ascii="Bookman Old Style" w:hAnsi="Bookman Old Style"/>
          <w:szCs w:val="24"/>
        </w:rPr>
        <w:tab/>
        <w:t>Mindy Pruitt</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170126" w:rsidRDefault="003F54EA" w:rsidP="00170126">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4E5CBA">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4E5CBA">
        <w:rPr>
          <w:rFonts w:ascii="Bookman Old Style" w:hAnsi="Bookman Old Style"/>
          <w:snapToGrid/>
          <w:szCs w:val="24"/>
        </w:rPr>
        <w:t>June 27, 2019</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170126">
        <w:rPr>
          <w:rFonts w:ascii="Bookman Old Style" w:hAnsi="Bookman Old Style"/>
          <w:snapToGrid/>
          <w:szCs w:val="24"/>
        </w:rPr>
        <w:t>September 8, 2016</w:t>
      </w:r>
      <w:r w:rsidRPr="00FB77CC">
        <w:rPr>
          <w:rFonts w:ascii="Bookman Old Style" w:hAnsi="Bookman Old Style"/>
          <w:snapToGrid/>
          <w:szCs w:val="24"/>
        </w:rPr>
        <w:t xml:space="preserve">. </w:t>
      </w:r>
      <w:r w:rsidR="00170126">
        <w:rPr>
          <w:rFonts w:ascii="Bookman Old Style" w:hAnsi="Bookman Old Style"/>
          <w:snapToGrid/>
          <w:szCs w:val="24"/>
        </w:rPr>
        <w:t>She</w:t>
      </w:r>
      <w:r w:rsidRPr="00FB77CC">
        <w:rPr>
          <w:rFonts w:ascii="Bookman Old Style" w:hAnsi="Bookman Old Style"/>
          <w:snapToGrid/>
          <w:szCs w:val="24"/>
        </w:rPr>
        <w:t xml:space="preserve"> last worked on </w:t>
      </w:r>
      <w:r w:rsidR="00170126">
        <w:rPr>
          <w:rFonts w:ascii="Bookman Old Style" w:hAnsi="Bookman Old Style"/>
          <w:snapToGrid/>
          <w:szCs w:val="24"/>
        </w:rPr>
        <w:t>June 20, 2019</w:t>
      </w:r>
      <w:r w:rsidRPr="00FB77CC">
        <w:rPr>
          <w:rFonts w:ascii="Bookman Old Style" w:hAnsi="Bookman Old Style"/>
          <w:snapToGrid/>
          <w:szCs w:val="24"/>
        </w:rPr>
        <w:t xml:space="preserve">. At that time, </w:t>
      </w:r>
      <w:r w:rsidR="00170126">
        <w:rPr>
          <w:rFonts w:ascii="Bookman Old Style" w:hAnsi="Bookman Old Style"/>
          <w:snapToGrid/>
          <w:szCs w:val="24"/>
        </w:rPr>
        <w:t>she</w:t>
      </w:r>
      <w:r w:rsidRPr="00FB77CC">
        <w:rPr>
          <w:rFonts w:ascii="Bookman Old Style" w:hAnsi="Bookman Old Style"/>
          <w:snapToGrid/>
          <w:szCs w:val="24"/>
        </w:rPr>
        <w:t xml:space="preserve"> worked </w:t>
      </w:r>
      <w:r w:rsidR="00170126">
        <w:rPr>
          <w:rFonts w:ascii="Bookman Old Style" w:hAnsi="Bookman Old Style"/>
          <w:snapToGrid/>
          <w:szCs w:val="24"/>
        </w:rPr>
        <w:t>full time</w:t>
      </w:r>
      <w:r w:rsidRPr="00FB77CC">
        <w:rPr>
          <w:rFonts w:ascii="Bookman Old Style" w:hAnsi="Bookman Old Style"/>
          <w:snapToGrid/>
          <w:szCs w:val="24"/>
        </w:rPr>
        <w:t xml:space="preserve"> as a </w:t>
      </w:r>
      <w:r w:rsidR="00170126">
        <w:rPr>
          <w:rFonts w:ascii="Bookman Old Style" w:hAnsi="Bookman Old Style"/>
          <w:snapToGrid/>
          <w:szCs w:val="24"/>
        </w:rPr>
        <w:t>housing advisor</w:t>
      </w:r>
      <w:r w:rsidRPr="00FB77CC">
        <w:rPr>
          <w:rFonts w:ascii="Bookman Old Style" w:hAnsi="Bookman Old Style"/>
          <w:snapToGrid/>
          <w:szCs w:val="24"/>
        </w:rPr>
        <w:t>.</w:t>
      </w:r>
    </w:p>
    <w:p w:rsidR="0016206D" w:rsidRDefault="00170126" w:rsidP="00B27666">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napToGrid/>
          <w:szCs w:val="24"/>
        </w:rPr>
        <w:t xml:space="preserve">On June 12, 2019, the claimant left a binder behind in a client/family area at a worksite of the employer.  The claimant used her daughter’s old school binder to organize her documents for a volunteer group she participated in outside work hours.  The claimant called a co-worker and asked her to get the binder and hold onto it for her.  </w:t>
      </w:r>
      <w:r w:rsidR="00263B51">
        <w:rPr>
          <w:rFonts w:ascii="Bookman Old Style" w:hAnsi="Bookman Old Style"/>
          <w:szCs w:val="24"/>
        </w:rPr>
        <w:t xml:space="preserve">The back of the binder </w:t>
      </w:r>
      <w:r w:rsidR="00B27666">
        <w:rPr>
          <w:rFonts w:ascii="Bookman Old Style" w:hAnsi="Bookman Old Style"/>
          <w:szCs w:val="24"/>
        </w:rPr>
        <w:t>displayed</w:t>
      </w:r>
      <w:r w:rsidR="00263B51">
        <w:rPr>
          <w:rFonts w:ascii="Bookman Old Style" w:hAnsi="Bookman Old Style"/>
          <w:szCs w:val="24"/>
        </w:rPr>
        <w:t xml:space="preserve"> pictures from a charity calendar featuring fireman without shirts. The pictures were seen by other employees </w:t>
      </w:r>
      <w:r w:rsidR="00B27666">
        <w:rPr>
          <w:rFonts w:ascii="Bookman Old Style" w:hAnsi="Bookman Old Style"/>
          <w:szCs w:val="24"/>
        </w:rPr>
        <w:t xml:space="preserve">who felt they were inappropriate </w:t>
      </w:r>
      <w:r w:rsidR="00263B51">
        <w:rPr>
          <w:rFonts w:ascii="Bookman Old Style" w:hAnsi="Bookman Old Style"/>
          <w:szCs w:val="24"/>
        </w:rPr>
        <w:t xml:space="preserve">and </w:t>
      </w:r>
      <w:r w:rsidR="00B27666">
        <w:rPr>
          <w:rFonts w:ascii="Bookman Old Style" w:hAnsi="Bookman Old Style"/>
          <w:szCs w:val="24"/>
        </w:rPr>
        <w:t xml:space="preserve">the pictures </w:t>
      </w:r>
      <w:r w:rsidR="00263B51">
        <w:rPr>
          <w:rFonts w:ascii="Bookman Old Style" w:hAnsi="Bookman Old Style"/>
          <w:szCs w:val="24"/>
        </w:rPr>
        <w:t>could have been seen by clients and children.</w:t>
      </w:r>
    </w:p>
    <w:p w:rsidR="00B27666" w:rsidRDefault="00B27666" w:rsidP="00B27666">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 xml:space="preserve">The employer has a policy against harassing behavior which includes displaying nude pictures. The claimant denied that the photos were nude, and she believed similar pictures could be found in magazine advertisements in the same area where she left her binder. </w:t>
      </w:r>
    </w:p>
    <w:p w:rsidR="00B27666" w:rsidRPr="00B27666" w:rsidRDefault="00B27666" w:rsidP="00B27666">
      <w:pPr>
        <w:widowControl/>
        <w:tabs>
          <w:tab w:val="left" w:pos="-1440"/>
          <w:tab w:val="left" w:pos="-720"/>
        </w:tabs>
        <w:suppressAutoHyphens/>
        <w:spacing w:after="200"/>
        <w:ind w:right="-360"/>
        <w:rPr>
          <w:rFonts w:ascii="Bookman Old Style" w:hAnsi="Bookman Old Style"/>
          <w:snapToGrid/>
          <w:szCs w:val="24"/>
        </w:rPr>
      </w:pPr>
    </w:p>
    <w:p w:rsidR="00B27666" w:rsidRDefault="00B2766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lastRenderedPageBreak/>
        <w:t>The claimant had been placed on a corrective action plan to correct some performance issues related to calculating rent and her knowledge of the financial and housing systems. The claimant had satisfactorily completed the corrective action plan in March, but the employer felt some of the performance problems were being noted again and the employer was reviewing the next steps to address the performance issues at the time of the binder incident.</w:t>
      </w:r>
    </w:p>
    <w:p w:rsidR="00B27666" w:rsidRDefault="00B27666" w:rsidP="00FB77CC">
      <w:pPr>
        <w:tabs>
          <w:tab w:val="left" w:pos="-1440"/>
          <w:tab w:val="left" w:pos="-720"/>
        </w:tabs>
        <w:suppressAutoHyphens/>
        <w:ind w:right="-360"/>
        <w:rPr>
          <w:rFonts w:ascii="Bookman Old Style" w:hAnsi="Bookman Old Style"/>
          <w:szCs w:val="24"/>
        </w:rPr>
      </w:pPr>
    </w:p>
    <w:p w:rsidR="00B27666" w:rsidRPr="00FB77CC" w:rsidRDefault="00B2766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employer discharged the claimant on June 20, 2019 for showing poor judgement by bringing the pictures into the workplace and for her ongoing performance issues.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F846DC" w:rsidRDefault="00F846DC" w:rsidP="00F846DC">
      <w:pPr>
        <w:suppressAutoHyphens/>
        <w:spacing w:line="264" w:lineRule="auto"/>
        <w:rPr>
          <w:rFonts w:ascii="Bookman Old Style" w:hAnsi="Bookman Old Style"/>
          <w:spacing w:val="-3"/>
        </w:rPr>
      </w:pPr>
      <w:r>
        <w:rPr>
          <w:rFonts w:ascii="Bookman Old Style" w:hAnsi="Bookman Old Style"/>
          <w:spacing w:val="-3"/>
        </w:rPr>
        <w:t xml:space="preserve">The claimant in this case was discharged because she brought a binder to work that displayed pictures of partially clothed men.  </w:t>
      </w:r>
    </w:p>
    <w:p w:rsidR="00D108D9" w:rsidRDefault="00D108D9" w:rsidP="00F846DC">
      <w:pPr>
        <w:suppressAutoHyphens/>
        <w:spacing w:line="264" w:lineRule="auto"/>
        <w:rPr>
          <w:rFonts w:ascii="Bookman Old Style" w:hAnsi="Bookman Old Style"/>
          <w:spacing w:val="-3"/>
        </w:rPr>
      </w:pPr>
    </w:p>
    <w:p w:rsidR="00F846DC" w:rsidRDefault="00F846DC" w:rsidP="00F846DC">
      <w:pPr>
        <w:suppressAutoHyphens/>
        <w:spacing w:line="264" w:lineRule="auto"/>
        <w:rPr>
          <w:rFonts w:ascii="Bookman Old Style" w:hAnsi="Bookman Old Style"/>
          <w:spacing w:val="-3"/>
        </w:rPr>
      </w:pPr>
    </w:p>
    <w:p w:rsidR="00F846DC" w:rsidRDefault="00F846DC" w:rsidP="00F846DC">
      <w:pPr>
        <w:tabs>
          <w:tab w:val="left" w:pos="-360"/>
        </w:tabs>
        <w:ind w:left="720"/>
        <w:rPr>
          <w:rFonts w:ascii="Bookman Old Style" w:hAnsi="Bookman Old Style"/>
          <w:i/>
          <w:szCs w:val="24"/>
        </w:rPr>
      </w:pPr>
      <w:r>
        <w:rPr>
          <w:rFonts w:ascii="Bookman Old Style" w:hAnsi="Bookman Old Style"/>
          <w:i/>
          <w:szCs w:val="24"/>
        </w:rPr>
        <w:lastRenderedPageBreak/>
        <w:t xml:space="preserve">Misconduct cannot be established on the basis of unproven allegations. </w:t>
      </w:r>
      <w:r>
        <w:rPr>
          <w:rFonts w:ascii="Bookman Old Style" w:hAnsi="Bookman Old Style"/>
          <w:i/>
          <w:szCs w:val="24"/>
          <w:u w:val="single"/>
        </w:rPr>
        <w:t>Cole</w:t>
      </w:r>
      <w:r>
        <w:rPr>
          <w:rFonts w:ascii="Bookman Old Style" w:hAnsi="Bookman Old Style"/>
          <w:i/>
          <w:szCs w:val="24"/>
        </w:rPr>
        <w:t>, Com. Dec. 85HUI006, January 22, 1985.</w:t>
      </w:r>
    </w:p>
    <w:p w:rsidR="00F846DC" w:rsidRDefault="00F846DC" w:rsidP="00F846DC">
      <w:pPr>
        <w:tabs>
          <w:tab w:val="left" w:pos="-360"/>
        </w:tabs>
        <w:ind w:left="720"/>
        <w:rPr>
          <w:rFonts w:ascii="Bookman Old Style" w:hAnsi="Bookman Old Style"/>
          <w:i/>
          <w:szCs w:val="24"/>
        </w:rPr>
      </w:pPr>
    </w:p>
    <w:p w:rsidR="00F846DC" w:rsidRDefault="00F846DC" w:rsidP="00F846DC">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w:t>
      </w:r>
      <w:r>
        <w:rPr>
          <w:rFonts w:ascii="Bookman Old Style" w:hAnsi="Bookman Old Style"/>
          <w:i/>
          <w:spacing w:val="-3"/>
          <w:szCs w:val="24"/>
          <w:u w:val="single"/>
        </w:rPr>
        <w:t>Rednal</w:t>
      </w:r>
      <w:r>
        <w:rPr>
          <w:rFonts w:ascii="Bookman Old Style" w:hAnsi="Bookman Old Style"/>
          <w:i/>
          <w:spacing w:val="-3"/>
          <w:szCs w:val="24"/>
        </w:rPr>
        <w:t>, Com. Dec. 86H</w:t>
      </w:r>
      <w:r>
        <w:rPr>
          <w:rFonts w:ascii="Bookman Old Style" w:hAnsi="Bookman Old Style"/>
          <w:i/>
          <w:spacing w:val="-3"/>
          <w:szCs w:val="24"/>
        </w:rPr>
        <w:noBreakHyphen/>
        <w:t>UI-213, August 25, 1986.</w:t>
      </w:r>
    </w:p>
    <w:p w:rsidR="00F846DC" w:rsidRDefault="00F846DC" w:rsidP="00F846DC">
      <w:pPr>
        <w:widowControl/>
        <w:tabs>
          <w:tab w:val="left" w:pos="-1440"/>
          <w:tab w:val="left" w:pos="-720"/>
          <w:tab w:val="left" w:pos="-360"/>
        </w:tabs>
        <w:suppressAutoHyphens/>
        <w:ind w:left="720"/>
        <w:rPr>
          <w:rFonts w:ascii="Bookman Old Style" w:hAnsi="Bookman Old Style"/>
          <w:szCs w:val="24"/>
        </w:rPr>
      </w:pPr>
    </w:p>
    <w:p w:rsidR="00F846DC" w:rsidRDefault="00F846DC" w:rsidP="00F846DC">
      <w:pPr>
        <w:tabs>
          <w:tab w:val="left" w:pos="-1440"/>
          <w:tab w:val="left" w:pos="-720"/>
        </w:tabs>
        <w:suppressAutoHyphens/>
        <w:rPr>
          <w:rFonts w:ascii="Bookman Old Style" w:hAnsi="Bookman Old Style"/>
          <w:i/>
          <w:spacing w:val="-3"/>
        </w:rPr>
      </w:pPr>
      <w:r>
        <w:rPr>
          <w:rFonts w:ascii="Bookman Old Style" w:hAnsi="Bookman Old Style"/>
          <w:szCs w:val="24"/>
        </w:rPr>
        <w:t xml:space="preserve">The decision in this matter turns on the weight of the evidence. </w:t>
      </w:r>
      <w:r w:rsidRPr="000F6352">
        <w:rPr>
          <w:rFonts w:ascii="Bookman Old Style" w:hAnsi="Bookman Old Style"/>
          <w:szCs w:val="24"/>
        </w:rPr>
        <w:t xml:space="preserve">In </w:t>
      </w:r>
      <w:r w:rsidRPr="000F6352">
        <w:rPr>
          <w:rFonts w:ascii="Bookman Old Style" w:hAnsi="Bookman Old Style"/>
          <w:spacing w:val="-3"/>
          <w:u w:val="single"/>
        </w:rPr>
        <w:t>Weaver</w:t>
      </w:r>
      <w:r>
        <w:rPr>
          <w:rFonts w:ascii="Bookman Old Style" w:hAnsi="Bookman Old Style"/>
          <w:spacing w:val="-3"/>
        </w:rPr>
        <w:t>, Co</w:t>
      </w:r>
      <w:r w:rsidRPr="000F6352">
        <w:rPr>
          <w:rFonts w:ascii="Bookman Old Style" w:hAnsi="Bookman Old Style"/>
          <w:spacing w:val="-3"/>
        </w:rPr>
        <w:t>m. Dec. 96 2687, February 13, 1997. The commissioner has held in part:</w:t>
      </w:r>
      <w:r>
        <w:rPr>
          <w:rFonts w:ascii="Bookman Old Style" w:hAnsi="Bookman Old Style"/>
          <w:szCs w:val="24"/>
        </w:rPr>
        <w:t xml:space="preserve"> </w:t>
      </w:r>
    </w:p>
    <w:p w:rsidR="00F846DC" w:rsidRDefault="00F846DC" w:rsidP="00F846DC">
      <w:pPr>
        <w:tabs>
          <w:tab w:val="left" w:pos="-1440"/>
          <w:tab w:val="left" w:pos="-720"/>
        </w:tabs>
        <w:suppressAutoHyphens/>
        <w:rPr>
          <w:rFonts w:ascii="Bookman Old Style" w:hAnsi="Bookman Old Style"/>
          <w:i/>
          <w:spacing w:val="-3"/>
        </w:rPr>
      </w:pPr>
    </w:p>
    <w:p w:rsidR="00F846DC" w:rsidRDefault="00F846DC" w:rsidP="00F846DC">
      <w:pPr>
        <w:tabs>
          <w:tab w:val="left" w:pos="-1440"/>
          <w:tab w:val="left" w:pos="-720"/>
        </w:tabs>
        <w:suppressAutoHyphens/>
        <w:ind w:left="720"/>
        <w:rPr>
          <w:rFonts w:ascii="Bookman Old Style" w:hAnsi="Bookman Old Style"/>
          <w:i/>
          <w:spacing w:val="-3"/>
        </w:rPr>
      </w:pPr>
      <w:r w:rsidRPr="00F73426">
        <w:rPr>
          <w:rFonts w:ascii="Bookman Old Style" w:hAnsi="Bookman Old Style"/>
          <w:i/>
          <w:spacing w:val="-3"/>
        </w:rPr>
        <w:t>Uncorroborated hearsay evidence must normally be given less weight than that of the sworn testimony of eyewitnesses to an event.  Only if first-hand testimony is clearly not credible, should hearsay statement</w:t>
      </w:r>
      <w:r>
        <w:rPr>
          <w:rFonts w:ascii="Bookman Old Style" w:hAnsi="Bookman Old Style"/>
          <w:i/>
          <w:spacing w:val="-3"/>
        </w:rPr>
        <w:t>s be considered more reliable.</w:t>
      </w:r>
    </w:p>
    <w:p w:rsidR="00F846DC" w:rsidRDefault="00F846DC" w:rsidP="00F846DC">
      <w:pPr>
        <w:tabs>
          <w:tab w:val="left" w:pos="-1440"/>
          <w:tab w:val="left" w:pos="-720"/>
        </w:tabs>
        <w:suppressAutoHyphens/>
        <w:ind w:left="720"/>
        <w:rPr>
          <w:rFonts w:ascii="Bookman Old Style" w:hAnsi="Bookman Old Style"/>
          <w:i/>
          <w:spacing w:val="-3"/>
        </w:rPr>
      </w:pPr>
    </w:p>
    <w:p w:rsidR="00F846DC" w:rsidRDefault="00F846DC" w:rsidP="00F846DC">
      <w:pPr>
        <w:widowControl/>
        <w:tabs>
          <w:tab w:val="left" w:pos="-1440"/>
          <w:tab w:val="left" w:pos="-720"/>
        </w:tabs>
        <w:suppressAutoHyphens/>
        <w:rPr>
          <w:rFonts w:ascii="Bookman Old Style" w:hAnsi="Bookman Old Style"/>
          <w:szCs w:val="24"/>
        </w:rPr>
      </w:pPr>
      <w:r>
        <w:rPr>
          <w:rFonts w:ascii="Bookman Old Style" w:hAnsi="Bookman Old Style"/>
          <w:szCs w:val="24"/>
        </w:rPr>
        <w:t xml:space="preserve">The employer </w:t>
      </w:r>
      <w:r w:rsidR="00D108D9">
        <w:rPr>
          <w:rFonts w:ascii="Bookman Old Style" w:hAnsi="Bookman Old Style"/>
          <w:szCs w:val="24"/>
        </w:rPr>
        <w:t xml:space="preserve">witnesses </w:t>
      </w:r>
      <w:r>
        <w:rPr>
          <w:rFonts w:ascii="Bookman Old Style" w:hAnsi="Bookman Old Style"/>
          <w:szCs w:val="24"/>
        </w:rPr>
        <w:t xml:space="preserve">testified as to what </w:t>
      </w:r>
      <w:r w:rsidR="00D108D9">
        <w:rPr>
          <w:rFonts w:ascii="Bookman Old Style" w:hAnsi="Bookman Old Style"/>
          <w:szCs w:val="24"/>
        </w:rPr>
        <w:t>they</w:t>
      </w:r>
      <w:r>
        <w:rPr>
          <w:rFonts w:ascii="Bookman Old Style" w:hAnsi="Bookman Old Style"/>
          <w:szCs w:val="24"/>
        </w:rPr>
        <w:t xml:space="preserve"> had </w:t>
      </w:r>
      <w:r w:rsidR="00D108D9">
        <w:rPr>
          <w:rFonts w:ascii="Bookman Old Style" w:hAnsi="Bookman Old Style"/>
          <w:szCs w:val="24"/>
        </w:rPr>
        <w:t>been told about the pictures, they</w:t>
      </w:r>
      <w:r>
        <w:rPr>
          <w:rFonts w:ascii="Bookman Old Style" w:hAnsi="Bookman Old Style"/>
          <w:szCs w:val="24"/>
        </w:rPr>
        <w:t xml:space="preserve"> had not seen them. The claimant argued that the pictures on the binder were not nude and similar pictures could be found in advertising. While the pictures </w:t>
      </w:r>
      <w:r w:rsidR="00D108D9">
        <w:rPr>
          <w:rFonts w:ascii="Bookman Old Style" w:hAnsi="Bookman Old Style"/>
          <w:szCs w:val="24"/>
        </w:rPr>
        <w:t>may not have been</w:t>
      </w:r>
      <w:r>
        <w:rPr>
          <w:rFonts w:ascii="Bookman Old Style" w:hAnsi="Bookman Old Style"/>
          <w:szCs w:val="24"/>
        </w:rPr>
        <w:t xml:space="preserve"> workplace-appropriate, the employer did not establish that bringing such pictures into the workplace rose to the level of a willful disregard of the employer’s interests. The Tribunal concludes that the claimant’s actions were a one-time incident of poor judgement. </w:t>
      </w:r>
    </w:p>
    <w:p w:rsidR="00D108D9" w:rsidRDefault="00D108D9" w:rsidP="00F846DC">
      <w:pPr>
        <w:widowControl/>
        <w:tabs>
          <w:tab w:val="left" w:pos="-1440"/>
          <w:tab w:val="left" w:pos="-720"/>
        </w:tabs>
        <w:suppressAutoHyphens/>
        <w:rPr>
          <w:rFonts w:ascii="Bookman Old Style" w:hAnsi="Bookman Old Style"/>
          <w:szCs w:val="24"/>
        </w:rPr>
      </w:pPr>
    </w:p>
    <w:p w:rsidR="00F846DC" w:rsidRDefault="00F846DC" w:rsidP="00F846DC">
      <w:pPr>
        <w:widowControl/>
        <w:tabs>
          <w:tab w:val="left" w:pos="-1440"/>
          <w:tab w:val="left" w:pos="-720"/>
        </w:tabs>
        <w:suppressAutoHyphens/>
        <w:rPr>
          <w:rFonts w:ascii="Bookman Old Style" w:hAnsi="Bookman Old Style"/>
          <w:szCs w:val="24"/>
        </w:rPr>
      </w:pPr>
      <w:r>
        <w:rPr>
          <w:rFonts w:ascii="Bookman Old Style" w:hAnsi="Bookman Old Style"/>
          <w:szCs w:val="24"/>
        </w:rPr>
        <w:t>The Tribunal does not question an employer’s right to discharge a claimant that does not meet its standards, but such a discharge is not always for misconduct.  The Tribunal finds the claimant in this case was discharged for reasons other than misconduct and thus the penalties of AS 23.20.379 are not appropriate.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D108D9">
        <w:rPr>
          <w:rFonts w:ascii="Bookman Old Style" w:hAnsi="Bookman Old Style"/>
          <w:szCs w:val="24"/>
        </w:rPr>
        <w:t>June 27, 2019</w:t>
      </w:r>
      <w:r w:rsidRPr="00E1431E">
        <w:rPr>
          <w:rFonts w:ascii="Bookman Old Style" w:hAnsi="Bookman Old Style"/>
        </w:rPr>
        <w:t xml:space="preserve"> is </w:t>
      </w:r>
      <w:r w:rsidR="00D108D9">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420B57">
        <w:rPr>
          <w:rFonts w:ascii="Bookman Old Style" w:hAnsi="Bookman Old Style"/>
          <w:szCs w:val="24"/>
        </w:rPr>
        <w:t>June 29, 2019 through August 3</w:t>
      </w:r>
      <w:r w:rsidR="00D108D9">
        <w:rPr>
          <w:rFonts w:ascii="Bookman Old Style" w:hAnsi="Bookman Old Style"/>
          <w:szCs w:val="24"/>
        </w:rPr>
        <w:t>, 2019</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w:t>
      </w:r>
      <w:r w:rsidRPr="006364B5">
        <w:rPr>
          <w:rFonts w:ascii="Bookman Old Style" w:hAnsi="Bookman Old Style"/>
          <w:szCs w:val="24"/>
        </w:rPr>
        <w:lastRenderedPageBreak/>
        <w:t>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D108D9">
        <w:rPr>
          <w:rFonts w:ascii="Bookman Old Style" w:hAnsi="Bookman Old Style"/>
          <w:szCs w:val="24"/>
        </w:rPr>
        <w:t>August 5, 2019</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D108D9">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7CC" w:rsidRDefault="00C317CC">
      <w:pPr>
        <w:widowControl/>
        <w:spacing w:line="20" w:lineRule="exact"/>
      </w:pPr>
    </w:p>
  </w:endnote>
  <w:endnote w:type="continuationSeparator" w:id="0">
    <w:p w:rsidR="00C317CC" w:rsidRDefault="00C317CC">
      <w:r>
        <w:t xml:space="preserve"> </w:t>
      </w:r>
    </w:p>
  </w:endnote>
  <w:endnote w:type="continuationNotice" w:id="1">
    <w:p w:rsidR="00C317CC" w:rsidRDefault="00C317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7CC" w:rsidRDefault="00C317CC">
      <w:r>
        <w:separator/>
      </w:r>
    </w:p>
  </w:footnote>
  <w:footnote w:type="continuationSeparator" w:id="0">
    <w:p w:rsidR="00C317CC" w:rsidRDefault="00C3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B27666">
      <w:rPr>
        <w:rFonts w:ascii="Bookman Old Style" w:hAnsi="Bookman Old Style"/>
      </w:rPr>
      <w:t>19 0632</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62093A">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CC"/>
    <w:rsid w:val="00015E49"/>
    <w:rsid w:val="000421BE"/>
    <w:rsid w:val="00074ABC"/>
    <w:rsid w:val="000B1B0E"/>
    <w:rsid w:val="000C468C"/>
    <w:rsid w:val="0016206D"/>
    <w:rsid w:val="00170126"/>
    <w:rsid w:val="00184E40"/>
    <w:rsid w:val="001A7E8E"/>
    <w:rsid w:val="001E566D"/>
    <w:rsid w:val="00246F0A"/>
    <w:rsid w:val="00263B51"/>
    <w:rsid w:val="002C0A6B"/>
    <w:rsid w:val="0030752B"/>
    <w:rsid w:val="003330EC"/>
    <w:rsid w:val="0037410D"/>
    <w:rsid w:val="003A08AE"/>
    <w:rsid w:val="003F54EA"/>
    <w:rsid w:val="00414E35"/>
    <w:rsid w:val="00420B57"/>
    <w:rsid w:val="00454952"/>
    <w:rsid w:val="004E5CBA"/>
    <w:rsid w:val="00527085"/>
    <w:rsid w:val="005840C2"/>
    <w:rsid w:val="005A25FF"/>
    <w:rsid w:val="005D69D2"/>
    <w:rsid w:val="005E68FF"/>
    <w:rsid w:val="0062093A"/>
    <w:rsid w:val="006E4A6A"/>
    <w:rsid w:val="006E67C4"/>
    <w:rsid w:val="007264A1"/>
    <w:rsid w:val="00803703"/>
    <w:rsid w:val="0081151A"/>
    <w:rsid w:val="009312D8"/>
    <w:rsid w:val="00965B24"/>
    <w:rsid w:val="00A775FC"/>
    <w:rsid w:val="00A94C46"/>
    <w:rsid w:val="00AC29BB"/>
    <w:rsid w:val="00AC4900"/>
    <w:rsid w:val="00B27666"/>
    <w:rsid w:val="00BE5A90"/>
    <w:rsid w:val="00C12590"/>
    <w:rsid w:val="00C317CC"/>
    <w:rsid w:val="00C841ED"/>
    <w:rsid w:val="00CB34CC"/>
    <w:rsid w:val="00D108D9"/>
    <w:rsid w:val="00D1304C"/>
    <w:rsid w:val="00DE12B1"/>
    <w:rsid w:val="00DF3786"/>
    <w:rsid w:val="00E1431E"/>
    <w:rsid w:val="00E1587B"/>
    <w:rsid w:val="00E20135"/>
    <w:rsid w:val="00E460EE"/>
    <w:rsid w:val="00F846DC"/>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9B5ED"/>
  <w15:chartTrackingRefBased/>
  <w15:docId w15:val="{D18CC2CD-ACDA-4BA0-880A-D23C7C04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811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51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4</Pages>
  <Words>929</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2019-08-05T23:49:00Z</cp:lastPrinted>
  <dcterms:created xsi:type="dcterms:W3CDTF">2019-08-06T00:06:00Z</dcterms:created>
  <dcterms:modified xsi:type="dcterms:W3CDTF">2019-08-06T00:06:00Z</dcterms:modified>
</cp:coreProperties>
</file>