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44" w:rsidRDefault="00ED79E8" w:rsidP="00892D4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-104140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Default="00892D44" w:rsidP="00892D44">
      <w:pPr>
        <w:pStyle w:val="Heading3"/>
        <w:widowControl/>
        <w:tabs>
          <w:tab w:val="center" w:pos="4680"/>
        </w:tabs>
        <w:suppressAutoHyphens/>
        <w:rPr>
          <w:rFonts w:ascii="Bookman Old Style" w:hAnsi="Bookman Old Style"/>
        </w:rPr>
      </w:pPr>
    </w:p>
    <w:p w:rsidR="00892D44" w:rsidRPr="00614A46" w:rsidRDefault="00892D44" w:rsidP="00614A46">
      <w:pPr>
        <w:pStyle w:val="Heading3"/>
        <w:widowControl/>
        <w:tabs>
          <w:tab w:val="center" w:pos="4680"/>
        </w:tabs>
        <w:suppressAutoHyphens/>
        <w:rPr>
          <w:rFonts w:ascii="Bookman Old Style" w:hAnsi="Bookman Old Style"/>
          <w:szCs w:val="24"/>
        </w:rPr>
      </w:pPr>
    </w:p>
    <w:p w:rsidR="00892D44" w:rsidRPr="00614A46" w:rsidRDefault="00892D44" w:rsidP="00614A46">
      <w:pPr>
        <w:widowControl/>
        <w:tabs>
          <w:tab w:val="left" w:pos="-720"/>
        </w:tabs>
        <w:suppressAutoHyphens/>
        <w:rPr>
          <w:rFonts w:ascii="Bookman Old Style" w:hAnsi="Bookman Old Style"/>
          <w:szCs w:val="24"/>
        </w:rPr>
      </w:pPr>
    </w:p>
    <w:p w:rsidR="0016206D" w:rsidRPr="00614A46" w:rsidRDefault="0016206D" w:rsidP="00614A46">
      <w:pPr>
        <w:tabs>
          <w:tab w:val="center" w:pos="4680"/>
        </w:tabs>
        <w:suppressAutoHyphens/>
        <w:jc w:val="center"/>
        <w:rPr>
          <w:rFonts w:ascii="Bookman Old Style" w:hAnsi="Bookman Old Style"/>
          <w:b/>
          <w:szCs w:val="24"/>
        </w:rPr>
      </w:pPr>
      <w:r w:rsidRPr="00614A46">
        <w:rPr>
          <w:rFonts w:ascii="Bookman Old Style" w:hAnsi="Bookman Old Style"/>
          <w:b/>
          <w:szCs w:val="24"/>
        </w:rPr>
        <w:t>APPEAL TRIBUNAL DECISION</w:t>
      </w:r>
    </w:p>
    <w:p w:rsidR="007264A1" w:rsidRPr="00614A46" w:rsidRDefault="007264A1" w:rsidP="00614A46">
      <w:pPr>
        <w:tabs>
          <w:tab w:val="left" w:pos="90"/>
          <w:tab w:val="center" w:pos="4680"/>
        </w:tabs>
        <w:suppressAutoHyphens/>
        <w:jc w:val="center"/>
        <w:outlineLvl w:val="0"/>
        <w:rPr>
          <w:rFonts w:ascii="Bookman Old Style" w:hAnsi="Bookman Old Style"/>
          <w:szCs w:val="24"/>
        </w:rPr>
      </w:pPr>
    </w:p>
    <w:p w:rsidR="0016206D" w:rsidRPr="00614A46" w:rsidRDefault="0016206D" w:rsidP="00614A46">
      <w:pPr>
        <w:tabs>
          <w:tab w:val="left" w:pos="0"/>
          <w:tab w:val="left" w:pos="90"/>
          <w:tab w:val="center" w:pos="4680"/>
        </w:tabs>
        <w:suppressAutoHyphens/>
        <w:jc w:val="center"/>
        <w:outlineLvl w:val="0"/>
        <w:rPr>
          <w:rFonts w:ascii="Bookman Old Style" w:hAnsi="Bookman Old Style"/>
          <w:szCs w:val="24"/>
        </w:rPr>
      </w:pPr>
      <w:r w:rsidRPr="00614A46">
        <w:rPr>
          <w:rFonts w:ascii="Bookman Old Style" w:hAnsi="Bookman Old Style"/>
          <w:b/>
          <w:szCs w:val="24"/>
        </w:rPr>
        <w:t xml:space="preserve">Docket </w:t>
      </w:r>
      <w:r w:rsidR="00386730" w:rsidRPr="00614A46">
        <w:rPr>
          <w:rFonts w:ascii="Bookman Old Style" w:hAnsi="Bookman Old Style"/>
          <w:b/>
          <w:szCs w:val="24"/>
        </w:rPr>
        <w:t>number:</w:t>
      </w:r>
      <w:r w:rsidRPr="00614A46">
        <w:rPr>
          <w:rFonts w:ascii="Bookman Old Style" w:hAnsi="Bookman Old Style"/>
          <w:szCs w:val="24"/>
        </w:rPr>
        <w:t xml:space="preserve">  </w:t>
      </w:r>
      <w:r w:rsidR="00193E3B">
        <w:rPr>
          <w:rFonts w:ascii="Bookman Old Style" w:hAnsi="Bookman Old Style"/>
          <w:szCs w:val="24"/>
        </w:rPr>
        <w:t>19 0683</w:t>
      </w:r>
      <w:r w:rsidRPr="00614A46">
        <w:rPr>
          <w:rFonts w:ascii="Bookman Old Style" w:hAnsi="Bookman Old Style"/>
          <w:szCs w:val="24"/>
        </w:rPr>
        <w:t xml:space="preserve">    </w:t>
      </w:r>
      <w:r w:rsidR="00386730" w:rsidRPr="00614A46">
        <w:rPr>
          <w:rFonts w:ascii="Bookman Old Style" w:hAnsi="Bookman Old Style"/>
          <w:b/>
          <w:szCs w:val="24"/>
        </w:rPr>
        <w:t>Hearing d</w:t>
      </w:r>
      <w:r w:rsidRPr="00614A46">
        <w:rPr>
          <w:rFonts w:ascii="Bookman Old Style" w:hAnsi="Bookman Old Style"/>
          <w:b/>
          <w:szCs w:val="24"/>
        </w:rPr>
        <w:t>ate:</w:t>
      </w:r>
      <w:r w:rsidRPr="00614A46">
        <w:rPr>
          <w:rFonts w:ascii="Bookman Old Style" w:hAnsi="Bookman Old Style"/>
          <w:szCs w:val="24"/>
        </w:rPr>
        <w:t xml:space="preserve">  </w:t>
      </w:r>
      <w:r w:rsidR="00193E3B">
        <w:rPr>
          <w:rFonts w:ascii="Bookman Old Style" w:hAnsi="Bookman Old Style"/>
          <w:szCs w:val="24"/>
        </w:rPr>
        <w:t xml:space="preserve">August </w:t>
      </w:r>
    </w:p>
    <w:p w:rsidR="0016206D" w:rsidRPr="00614A46" w:rsidRDefault="0016206D" w:rsidP="00614A46">
      <w:pPr>
        <w:tabs>
          <w:tab w:val="left" w:pos="-720"/>
        </w:tabs>
        <w:suppressAutoHyphens/>
        <w:rPr>
          <w:rFonts w:ascii="Bookman Old Style" w:hAnsi="Bookman Old Style"/>
          <w:szCs w:val="24"/>
        </w:rPr>
      </w:pPr>
    </w:p>
    <w:p w:rsidR="0016206D" w:rsidRPr="00614A46" w:rsidRDefault="0016206D" w:rsidP="00614A46">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614A46">
        <w:rPr>
          <w:rFonts w:ascii="Bookman Old Style" w:hAnsi="Bookman Old Style"/>
          <w:b/>
          <w:szCs w:val="24"/>
        </w:rPr>
        <w:t>CLAIMANT:</w:t>
      </w:r>
      <w:r w:rsidRPr="00614A46">
        <w:rPr>
          <w:rFonts w:ascii="Bookman Old Style" w:hAnsi="Bookman Old Style"/>
          <w:b/>
          <w:szCs w:val="24"/>
        </w:rPr>
        <w:tab/>
        <w:t>EMPLOYER:</w:t>
      </w:r>
    </w:p>
    <w:p w:rsidR="0016206D" w:rsidRPr="00614A46" w:rsidRDefault="0016206D" w:rsidP="00614A46">
      <w:pPr>
        <w:tabs>
          <w:tab w:val="left" w:pos="-1440"/>
          <w:tab w:val="left" w:pos="-720"/>
          <w:tab w:val="left" w:pos="0"/>
          <w:tab w:val="left" w:pos="5760"/>
        </w:tabs>
        <w:suppressAutoHyphens/>
        <w:ind w:right="-360"/>
        <w:rPr>
          <w:rFonts w:ascii="Bookman Old Style" w:hAnsi="Bookman Old Style"/>
          <w:szCs w:val="24"/>
        </w:rPr>
      </w:pPr>
    </w:p>
    <w:p w:rsidR="00193E3B" w:rsidRPr="00193E3B" w:rsidRDefault="00193E3B" w:rsidP="00193E3B">
      <w:pPr>
        <w:tabs>
          <w:tab w:val="left" w:pos="-1440"/>
          <w:tab w:val="left" w:pos="-720"/>
          <w:tab w:val="left" w:pos="0"/>
          <w:tab w:val="left" w:pos="5040"/>
          <w:tab w:val="left" w:pos="5760"/>
        </w:tabs>
        <w:suppressAutoHyphens/>
        <w:ind w:right="-360"/>
        <w:rPr>
          <w:rFonts w:ascii="Bookman Old Style" w:hAnsi="Bookman Old Style"/>
          <w:szCs w:val="24"/>
        </w:rPr>
      </w:pPr>
      <w:r w:rsidRPr="00193E3B">
        <w:rPr>
          <w:rFonts w:ascii="Bookman Old Style" w:hAnsi="Bookman Old Style"/>
          <w:szCs w:val="24"/>
        </w:rPr>
        <w:t>ANTHONY HOLMES</w:t>
      </w:r>
      <w:r w:rsidR="00A0630D">
        <w:rPr>
          <w:rFonts w:ascii="Bookman Old Style" w:hAnsi="Bookman Old Style"/>
          <w:szCs w:val="24"/>
        </w:rPr>
        <w:tab/>
        <w:t>ARMY AIRFORCE EXCHANGE 429</w:t>
      </w:r>
    </w:p>
    <w:p w:rsidR="0016206D" w:rsidRDefault="0016206D" w:rsidP="00614A46">
      <w:pPr>
        <w:tabs>
          <w:tab w:val="left" w:pos="-1440"/>
          <w:tab w:val="left" w:pos="-720"/>
          <w:tab w:val="left" w:pos="0"/>
          <w:tab w:val="left" w:pos="5760"/>
        </w:tabs>
        <w:suppressAutoHyphens/>
        <w:ind w:right="-360"/>
        <w:rPr>
          <w:rFonts w:ascii="Bookman Old Style" w:hAnsi="Bookman Old Style"/>
          <w:szCs w:val="24"/>
        </w:rPr>
      </w:pPr>
    </w:p>
    <w:p w:rsidR="00700F67" w:rsidRDefault="00700F67" w:rsidP="00614A46">
      <w:pPr>
        <w:tabs>
          <w:tab w:val="left" w:pos="-1440"/>
          <w:tab w:val="left" w:pos="-720"/>
          <w:tab w:val="left" w:pos="0"/>
          <w:tab w:val="left" w:pos="5760"/>
        </w:tabs>
        <w:suppressAutoHyphens/>
        <w:ind w:right="-360"/>
        <w:rPr>
          <w:rFonts w:ascii="Bookman Old Style" w:hAnsi="Bookman Old Style"/>
          <w:szCs w:val="24"/>
        </w:rPr>
      </w:pPr>
    </w:p>
    <w:p w:rsidR="00700F67" w:rsidRDefault="00700F67" w:rsidP="00614A46">
      <w:pPr>
        <w:tabs>
          <w:tab w:val="left" w:pos="-1440"/>
          <w:tab w:val="left" w:pos="-720"/>
          <w:tab w:val="left" w:pos="0"/>
          <w:tab w:val="left" w:pos="5760"/>
        </w:tabs>
        <w:suppressAutoHyphens/>
        <w:ind w:right="-360"/>
        <w:rPr>
          <w:rFonts w:ascii="Bookman Old Style" w:hAnsi="Bookman Old Style"/>
          <w:szCs w:val="24"/>
        </w:rPr>
      </w:pPr>
    </w:p>
    <w:p w:rsidR="00700F67" w:rsidRPr="00614A46" w:rsidRDefault="00700F67" w:rsidP="00614A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614A46" w:rsidRDefault="0016206D" w:rsidP="00614A46">
      <w:pPr>
        <w:tabs>
          <w:tab w:val="left" w:pos="-1440"/>
          <w:tab w:val="left" w:pos="-720"/>
          <w:tab w:val="left" w:pos="0"/>
          <w:tab w:val="left" w:pos="5040"/>
          <w:tab w:val="left" w:pos="5760"/>
        </w:tabs>
        <w:suppressAutoHyphens/>
        <w:ind w:right="-360"/>
        <w:rPr>
          <w:rFonts w:ascii="Bookman Old Style" w:hAnsi="Bookman Old Style"/>
          <w:szCs w:val="24"/>
        </w:rPr>
      </w:pPr>
      <w:r w:rsidRPr="00614A46">
        <w:rPr>
          <w:rFonts w:ascii="Bookman Old Style" w:hAnsi="Bookman Old Style"/>
          <w:b/>
          <w:szCs w:val="24"/>
        </w:rPr>
        <w:t>CLAIMANT APPEARANCES:</w:t>
      </w:r>
      <w:r w:rsidRPr="00614A46">
        <w:rPr>
          <w:rFonts w:ascii="Bookman Old Style" w:hAnsi="Bookman Old Style"/>
          <w:b/>
          <w:szCs w:val="24"/>
        </w:rPr>
        <w:tab/>
        <w:t>EMPLOYER APPEARANCES:</w:t>
      </w:r>
    </w:p>
    <w:p w:rsidR="0016206D" w:rsidRPr="00614A46" w:rsidRDefault="0016206D" w:rsidP="00614A46">
      <w:pPr>
        <w:tabs>
          <w:tab w:val="left" w:pos="-1440"/>
          <w:tab w:val="left" w:pos="-720"/>
          <w:tab w:val="left" w:pos="0"/>
          <w:tab w:val="left" w:pos="5760"/>
        </w:tabs>
        <w:suppressAutoHyphens/>
        <w:ind w:right="-360"/>
        <w:rPr>
          <w:rFonts w:ascii="Bookman Old Style" w:hAnsi="Bookman Old Style"/>
          <w:szCs w:val="24"/>
        </w:rPr>
      </w:pPr>
    </w:p>
    <w:p w:rsidR="0016206D" w:rsidRDefault="00A0630D" w:rsidP="00614A46">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Anthony Holmes</w:t>
      </w:r>
      <w:r w:rsidR="00C841ED" w:rsidRPr="00614A46">
        <w:rPr>
          <w:rFonts w:ascii="Bookman Old Style" w:hAnsi="Bookman Old Style"/>
          <w:szCs w:val="24"/>
        </w:rPr>
        <w:tab/>
      </w:r>
      <w:r>
        <w:rPr>
          <w:rFonts w:ascii="Bookman Old Style" w:hAnsi="Bookman Old Style"/>
          <w:szCs w:val="24"/>
        </w:rPr>
        <w:t>Jessica Frankmann</w:t>
      </w:r>
    </w:p>
    <w:p w:rsidR="00A0630D" w:rsidRPr="00614A46" w:rsidRDefault="00A0630D" w:rsidP="00614A46">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Christopher Woods</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pStyle w:val="Heading2"/>
        <w:rPr>
          <w:rFonts w:ascii="Bookman Old Style" w:hAnsi="Bookman Old Style"/>
          <w:szCs w:val="24"/>
        </w:rPr>
      </w:pPr>
      <w:r w:rsidRPr="00614A46">
        <w:rPr>
          <w:rFonts w:ascii="Bookman Old Style" w:hAnsi="Bookman Old Style"/>
          <w:szCs w:val="24"/>
        </w:rPr>
        <w:t>CASE HISTORY</w:t>
      </w:r>
    </w:p>
    <w:p w:rsidR="0016206D" w:rsidRPr="00614A46" w:rsidRDefault="0016206D" w:rsidP="00614A46">
      <w:pPr>
        <w:tabs>
          <w:tab w:val="center" w:pos="4860"/>
        </w:tabs>
        <w:suppressAutoHyphens/>
        <w:ind w:right="-360"/>
        <w:rPr>
          <w:rFonts w:ascii="Bookman Old Style" w:hAnsi="Bookman Old Style"/>
          <w:szCs w:val="24"/>
        </w:rPr>
      </w:pPr>
    </w:p>
    <w:p w:rsidR="0016206D" w:rsidRPr="004E4C74" w:rsidRDefault="00930ED5" w:rsidP="004E4C74">
      <w:pPr>
        <w:widowControl/>
        <w:spacing w:after="200"/>
        <w:rPr>
          <w:rFonts w:ascii="Bookman Old Style" w:hAnsi="Bookman Old Style"/>
          <w:snapToGrid/>
          <w:szCs w:val="24"/>
        </w:rPr>
      </w:pPr>
      <w:r w:rsidRPr="00614A46">
        <w:rPr>
          <w:rFonts w:ascii="Bookman Old Style" w:hAnsi="Bookman Old Style"/>
          <w:snapToGrid/>
          <w:szCs w:val="24"/>
        </w:rPr>
        <w:t xml:space="preserve">The </w:t>
      </w:r>
      <w:r w:rsidR="00A0630D">
        <w:rPr>
          <w:rFonts w:ascii="Bookman Old Style" w:hAnsi="Bookman Old Style"/>
          <w:szCs w:val="24"/>
        </w:rPr>
        <w:t>claimant</w:t>
      </w:r>
      <w:r w:rsidR="00892A69">
        <w:rPr>
          <w:rFonts w:ascii="Bookman Old Style" w:hAnsi="Bookman Old Style"/>
          <w:szCs w:val="24"/>
        </w:rPr>
        <w:t xml:space="preserve"> </w:t>
      </w:r>
      <w:r w:rsidRPr="00614A46">
        <w:rPr>
          <w:rFonts w:ascii="Bookman Old Style" w:hAnsi="Bookman Old Style"/>
          <w:snapToGrid/>
          <w:szCs w:val="24"/>
        </w:rPr>
        <w:t xml:space="preserve">timely appealed a </w:t>
      </w:r>
      <w:r w:rsidR="00A0630D">
        <w:rPr>
          <w:rFonts w:ascii="Bookman Old Style" w:hAnsi="Bookman Old Style"/>
          <w:snapToGrid/>
          <w:szCs w:val="24"/>
        </w:rPr>
        <w:t>July 11, 2019</w:t>
      </w:r>
      <w:r w:rsidRPr="00614A46">
        <w:rPr>
          <w:rFonts w:ascii="Bookman Old Style" w:hAnsi="Bookman Old Style"/>
          <w:snapToGrid/>
          <w:szCs w:val="24"/>
        </w:rPr>
        <w:t xml:space="preserve"> determination which denied benefits under Alaska Statute 23.20.379</w:t>
      </w:r>
      <w:r w:rsidR="00A0630D">
        <w:rPr>
          <w:rFonts w:ascii="Bookman Old Style" w:hAnsi="Bookman Old Style"/>
          <w:snapToGrid/>
          <w:szCs w:val="24"/>
        </w:rPr>
        <w:t>(e)</w:t>
      </w:r>
      <w:r w:rsidRPr="00614A46">
        <w:rPr>
          <w:rFonts w:ascii="Bookman Old Style" w:hAnsi="Bookman Old Style"/>
          <w:snapToGrid/>
          <w:szCs w:val="24"/>
        </w:rPr>
        <w:t xml:space="preserve">. The issue before the Appeal Tribunal is whether the claimant was discharged for </w:t>
      </w:r>
      <w:r w:rsidR="00A0630D">
        <w:rPr>
          <w:rFonts w:ascii="Bookman Old Style" w:hAnsi="Bookman Old Style"/>
          <w:snapToGrid/>
          <w:szCs w:val="24"/>
        </w:rPr>
        <w:t xml:space="preserve">felony </w:t>
      </w:r>
      <w:r w:rsidRPr="00614A46">
        <w:rPr>
          <w:rFonts w:ascii="Bookman Old Style" w:hAnsi="Bookman Old Style"/>
          <w:snapToGrid/>
          <w:szCs w:val="24"/>
        </w:rPr>
        <w:t>misconduct connected with the work.</w:t>
      </w:r>
    </w:p>
    <w:p w:rsidR="0016206D" w:rsidRPr="00614A46" w:rsidRDefault="0016206D" w:rsidP="00614A46">
      <w:pPr>
        <w:tabs>
          <w:tab w:val="center" w:pos="4860"/>
        </w:tabs>
        <w:suppressAutoHyphens/>
        <w:ind w:right="-360"/>
        <w:rPr>
          <w:rFonts w:ascii="Bookman Old Style" w:hAnsi="Bookman Old Style"/>
          <w:szCs w:val="24"/>
        </w:rPr>
      </w:pPr>
      <w:r w:rsidRPr="00614A46">
        <w:rPr>
          <w:rFonts w:ascii="Bookman Old Style" w:hAnsi="Bookman Old Style"/>
          <w:b/>
          <w:szCs w:val="24"/>
        </w:rPr>
        <w:tab/>
        <w:t>FINDINGS OF FACT</w:t>
      </w:r>
    </w:p>
    <w:p w:rsidR="0016206D" w:rsidRPr="00614A46" w:rsidRDefault="0016206D" w:rsidP="00614A46">
      <w:pPr>
        <w:tabs>
          <w:tab w:val="left" w:pos="-1440"/>
          <w:tab w:val="left" w:pos="-720"/>
        </w:tabs>
        <w:suppressAutoHyphens/>
        <w:ind w:right="-360"/>
        <w:rPr>
          <w:rFonts w:ascii="Bookman Old Style" w:hAnsi="Bookman Old Style"/>
          <w:szCs w:val="24"/>
        </w:rPr>
      </w:pPr>
    </w:p>
    <w:p w:rsidR="00930ED5" w:rsidRDefault="00930ED5" w:rsidP="00614A46">
      <w:pPr>
        <w:widowControl/>
        <w:tabs>
          <w:tab w:val="left" w:pos="-1440"/>
          <w:tab w:val="left" w:pos="-720"/>
        </w:tabs>
        <w:suppressAutoHyphens/>
        <w:spacing w:after="200"/>
        <w:ind w:right="-360"/>
        <w:rPr>
          <w:rFonts w:ascii="Bookman Old Style" w:hAnsi="Bookman Old Style"/>
          <w:snapToGrid/>
          <w:szCs w:val="24"/>
        </w:rPr>
      </w:pPr>
      <w:r w:rsidRPr="00614A46">
        <w:rPr>
          <w:rFonts w:ascii="Bookman Old Style" w:hAnsi="Bookman Old Style"/>
          <w:snapToGrid/>
          <w:szCs w:val="24"/>
        </w:rPr>
        <w:t xml:space="preserve">The claimant began work for the employer on </w:t>
      </w:r>
      <w:r w:rsidR="00A0630D">
        <w:rPr>
          <w:rFonts w:ascii="Bookman Old Style" w:hAnsi="Bookman Old Style"/>
          <w:snapToGrid/>
          <w:szCs w:val="24"/>
        </w:rPr>
        <w:t>March 10, 2009</w:t>
      </w:r>
      <w:r w:rsidRPr="00614A46">
        <w:rPr>
          <w:rFonts w:ascii="Bookman Old Style" w:hAnsi="Bookman Old Style"/>
          <w:snapToGrid/>
          <w:szCs w:val="24"/>
        </w:rPr>
        <w:t xml:space="preserve">. </w:t>
      </w:r>
      <w:r w:rsidR="00A0630D">
        <w:rPr>
          <w:rFonts w:ascii="Bookman Old Style" w:hAnsi="Bookman Old Style"/>
          <w:snapToGrid/>
          <w:szCs w:val="24"/>
        </w:rPr>
        <w:t>He</w:t>
      </w:r>
      <w:r w:rsidRPr="00614A46">
        <w:rPr>
          <w:rFonts w:ascii="Bookman Old Style" w:hAnsi="Bookman Old Style"/>
          <w:snapToGrid/>
          <w:szCs w:val="24"/>
        </w:rPr>
        <w:t xml:space="preserve"> last worked on </w:t>
      </w:r>
      <w:r w:rsidR="00A0630D">
        <w:rPr>
          <w:rFonts w:ascii="Bookman Old Style" w:hAnsi="Bookman Old Style"/>
          <w:snapToGrid/>
          <w:szCs w:val="24"/>
        </w:rPr>
        <w:t>April 10, 2019</w:t>
      </w:r>
      <w:r w:rsidRPr="00614A46">
        <w:rPr>
          <w:rFonts w:ascii="Bookman Old Style" w:hAnsi="Bookman Old Style"/>
          <w:snapToGrid/>
          <w:szCs w:val="24"/>
        </w:rPr>
        <w:t xml:space="preserve">. At that time, </w:t>
      </w:r>
      <w:r w:rsidR="00A0630D">
        <w:rPr>
          <w:rFonts w:ascii="Bookman Old Style" w:hAnsi="Bookman Old Style"/>
          <w:snapToGrid/>
          <w:szCs w:val="24"/>
        </w:rPr>
        <w:t>he</w:t>
      </w:r>
      <w:r w:rsidRPr="00614A46">
        <w:rPr>
          <w:rFonts w:ascii="Bookman Old Style" w:hAnsi="Bookman Old Style"/>
          <w:snapToGrid/>
          <w:szCs w:val="24"/>
        </w:rPr>
        <w:t xml:space="preserve"> worked </w:t>
      </w:r>
      <w:r w:rsidR="00A0630D">
        <w:rPr>
          <w:rFonts w:ascii="Bookman Old Style" w:hAnsi="Bookman Old Style"/>
          <w:snapToGrid/>
          <w:szCs w:val="24"/>
        </w:rPr>
        <w:t>full time</w:t>
      </w:r>
      <w:r w:rsidRPr="00614A46">
        <w:rPr>
          <w:rFonts w:ascii="Bookman Old Style" w:hAnsi="Bookman Old Style"/>
          <w:snapToGrid/>
          <w:szCs w:val="24"/>
        </w:rPr>
        <w:t xml:space="preserve"> as a</w:t>
      </w:r>
      <w:r w:rsidR="00A0630D">
        <w:rPr>
          <w:rFonts w:ascii="Bookman Old Style" w:hAnsi="Bookman Old Style"/>
          <w:snapToGrid/>
          <w:szCs w:val="24"/>
        </w:rPr>
        <w:t>n auto worker</w:t>
      </w:r>
      <w:r w:rsidRPr="00614A46">
        <w:rPr>
          <w:rFonts w:ascii="Bookman Old Style" w:hAnsi="Bookman Old Style"/>
          <w:snapToGrid/>
          <w:szCs w:val="24"/>
        </w:rPr>
        <w:t>.</w:t>
      </w:r>
    </w:p>
    <w:p w:rsidR="00A0630D" w:rsidRPr="00614A46" w:rsidRDefault="00A0630D" w:rsidP="00614A4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employer’s loss prevention team performed random checks by viewing security camera video of the employer’s work bays. The loss prevention team notified the employer that they had observed the claimant perform work on his own car during work hours. The employer’s policy prohibits such work.  The claimant was aware that working on his own car during work hours was not permitted. The employer determined that the claimant had balanced his tires and topped off his windshield wiper fluid and oil, services worth $50.43. The claimant had earlier paid for an oil change at the employer’s shop, which meant he was eligible to receive free oil top-off, which the employer had considered was worth $3.49 of the total owed.</w:t>
      </w:r>
    </w:p>
    <w:p w:rsidR="0016206D" w:rsidRDefault="00A0630D"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An ex-employee was seen </w:t>
      </w:r>
      <w:r w:rsidR="00EF43F9">
        <w:rPr>
          <w:rFonts w:ascii="Bookman Old Style" w:hAnsi="Bookman Old Style"/>
          <w:szCs w:val="24"/>
        </w:rPr>
        <w:t xml:space="preserve">on the security video </w:t>
      </w:r>
      <w:r>
        <w:rPr>
          <w:rFonts w:ascii="Bookman Old Style" w:hAnsi="Bookman Old Style"/>
          <w:szCs w:val="24"/>
        </w:rPr>
        <w:t>working on his own car in the employer’</w:t>
      </w:r>
      <w:r w:rsidR="00EF43F9">
        <w:rPr>
          <w:rFonts w:ascii="Bookman Old Style" w:hAnsi="Bookman Old Style"/>
          <w:szCs w:val="24"/>
        </w:rPr>
        <w:t xml:space="preserve">s shop. The claimant’s supervisor watched the security video and observed the claimant helping the ex-employee with his tires. The claimant recalled that the ex-employee had come into the shop on his own and the claimant </w:t>
      </w:r>
      <w:r w:rsidR="00EF43F9">
        <w:rPr>
          <w:rFonts w:ascii="Bookman Old Style" w:hAnsi="Bookman Old Style"/>
          <w:szCs w:val="24"/>
        </w:rPr>
        <w:lastRenderedPageBreak/>
        <w:t xml:space="preserve">did not know if he had permission to work in the shop or not.  The claimant recalled that he helped move the ex-employees tires just to get them out of his way because he was trying to work on a customer’s car at the time.  The employer calculated that the ex-employee’s work should have been billed at $219.00. </w:t>
      </w:r>
    </w:p>
    <w:p w:rsidR="00EF43F9" w:rsidRDefault="00EF43F9" w:rsidP="00614A46">
      <w:pPr>
        <w:tabs>
          <w:tab w:val="left" w:pos="-1440"/>
          <w:tab w:val="left" w:pos="-720"/>
        </w:tabs>
        <w:suppressAutoHyphens/>
        <w:ind w:right="-360"/>
        <w:rPr>
          <w:rFonts w:ascii="Bookman Old Style" w:hAnsi="Bookman Old Style"/>
          <w:szCs w:val="24"/>
        </w:rPr>
      </w:pPr>
    </w:p>
    <w:p w:rsidR="00EF43F9" w:rsidRPr="00614A46" w:rsidRDefault="00EF43F9"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was placed on administrative leave with pay on April 10, 2019. The matter was referred to the military police.  The claimant paid the employer the full amount for the work on his car and the ex-employee’s car. The claimant was barred from entering the base.  On April 19, 2019, the employer notified the claimant he was being discharged effective May 2, 2019. </w:t>
      </w:r>
      <w:r w:rsidR="004E4C74">
        <w:rPr>
          <w:rFonts w:ascii="Bookman Old Style" w:hAnsi="Bookman Old Style"/>
          <w:szCs w:val="24"/>
        </w:rPr>
        <w:t>The military police later dropped the charges against the claimant.</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pStyle w:val="Heading2"/>
        <w:rPr>
          <w:rFonts w:ascii="Bookman Old Style" w:hAnsi="Bookman Old Style"/>
          <w:szCs w:val="24"/>
        </w:rPr>
      </w:pPr>
      <w:r w:rsidRPr="00614A46">
        <w:rPr>
          <w:rFonts w:ascii="Bookman Old Style" w:hAnsi="Bookman Old Style"/>
          <w:szCs w:val="24"/>
        </w:rPr>
        <w:t>PROVISIONS OF LAW</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b/>
          <w:szCs w:val="24"/>
        </w:rPr>
      </w:pPr>
      <w:r w:rsidRPr="00614A46">
        <w:rPr>
          <w:rFonts w:ascii="Bookman Old Style" w:hAnsi="Bookman Old Style"/>
          <w:b/>
          <w:szCs w:val="24"/>
        </w:rPr>
        <w:t>AS 23.20.379 provides in part:</w:t>
      </w:r>
    </w:p>
    <w:p w:rsidR="0016206D" w:rsidRPr="00614A46" w:rsidRDefault="00C841ED" w:rsidP="00614A46">
      <w:pPr>
        <w:tabs>
          <w:tab w:val="left" w:pos="-1440"/>
          <w:tab w:val="left" w:pos="-720"/>
          <w:tab w:val="left" w:pos="0"/>
          <w:tab w:val="left" w:pos="720"/>
        </w:tabs>
        <w:suppressAutoHyphens/>
        <w:ind w:right="-360"/>
        <w:rPr>
          <w:rFonts w:ascii="Bookman Old Style" w:hAnsi="Bookman Old Style"/>
          <w:szCs w:val="24"/>
        </w:rPr>
      </w:pPr>
      <w:r w:rsidRPr="00614A46">
        <w:rPr>
          <w:rFonts w:ascii="Bookman Old Style" w:hAnsi="Bookman Old Style"/>
          <w:szCs w:val="24"/>
        </w:rPr>
        <w:tab/>
      </w:r>
    </w:p>
    <w:p w:rsidR="0016206D" w:rsidRPr="00614A46" w:rsidRDefault="0016206D" w:rsidP="00614A46">
      <w:pPr>
        <w:tabs>
          <w:tab w:val="left" w:pos="-1440"/>
          <w:tab w:val="left" w:pos="-720"/>
          <w:tab w:val="left" w:pos="0"/>
          <w:tab w:val="left" w:pos="1440"/>
        </w:tabs>
        <w:suppressAutoHyphens/>
        <w:ind w:left="1440" w:right="-360" w:hanging="720"/>
        <w:rPr>
          <w:rFonts w:ascii="Bookman Old Style" w:hAnsi="Bookman Old Style"/>
          <w:szCs w:val="24"/>
        </w:rPr>
      </w:pPr>
      <w:r w:rsidRPr="00614A46">
        <w:rPr>
          <w:rFonts w:ascii="Bookman Old Style" w:hAnsi="Bookman Old Style"/>
          <w:szCs w:val="24"/>
        </w:rPr>
        <w:t>(a)</w:t>
      </w:r>
      <w:r w:rsidR="00E1431E" w:rsidRPr="00614A46">
        <w:rPr>
          <w:rFonts w:ascii="Bookman Old Style" w:hAnsi="Bookman Old Style"/>
          <w:szCs w:val="24"/>
        </w:rPr>
        <w:t xml:space="preserve">  </w:t>
      </w:r>
      <w:r w:rsidRPr="00614A46">
        <w:rPr>
          <w:rFonts w:ascii="Bookman Old Style" w:hAnsi="Bookman Old Style"/>
          <w:szCs w:val="24"/>
        </w:rPr>
        <w:t xml:space="preserve">  </w:t>
      </w:r>
      <w:r w:rsidR="00E1431E" w:rsidRPr="00614A46">
        <w:rPr>
          <w:rFonts w:ascii="Bookman Old Style" w:hAnsi="Bookman Old Style"/>
          <w:szCs w:val="24"/>
        </w:rPr>
        <w:t xml:space="preserve">  </w:t>
      </w:r>
      <w:r w:rsidRPr="00614A46">
        <w:rPr>
          <w:rFonts w:ascii="Bookman Old Style" w:hAnsi="Bookman Old Style"/>
          <w:szCs w:val="24"/>
        </w:rPr>
        <w:t>An insured worker is disqualified for waiting-week credit</w:t>
      </w:r>
      <w:r w:rsidR="00E1431E" w:rsidRPr="00614A46">
        <w:rPr>
          <w:rFonts w:ascii="Bookman Old Style" w:hAnsi="Bookman Old Style"/>
          <w:szCs w:val="24"/>
        </w:rPr>
        <w:t xml:space="preserve"> </w:t>
      </w:r>
      <w:r w:rsidRPr="00614A46">
        <w:rPr>
          <w:rFonts w:ascii="Bookman Old Style" w:hAnsi="Bookman Old Style"/>
          <w:szCs w:val="24"/>
        </w:rPr>
        <w:t>or benefits for the first week in which the insured worker is unemployed and for the next five weeks of unemployment following that week if the insured worker...</w:t>
      </w:r>
    </w:p>
    <w:p w:rsidR="00E1431E" w:rsidRPr="00614A46" w:rsidRDefault="00E1431E" w:rsidP="00614A46">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614A46" w:rsidRDefault="0016206D" w:rsidP="00614A46">
      <w:pPr>
        <w:tabs>
          <w:tab w:val="left" w:pos="-1440"/>
          <w:tab w:val="left" w:pos="-720"/>
          <w:tab w:val="left" w:pos="720"/>
          <w:tab w:val="left" w:pos="1440"/>
        </w:tabs>
        <w:suppressAutoHyphens/>
        <w:ind w:left="1440" w:right="-360" w:hanging="1440"/>
        <w:rPr>
          <w:rFonts w:ascii="Bookman Old Style" w:hAnsi="Bookman Old Style"/>
          <w:szCs w:val="24"/>
        </w:rPr>
      </w:pPr>
      <w:r w:rsidRPr="00614A46">
        <w:rPr>
          <w:rFonts w:ascii="Bookman Old Style" w:hAnsi="Bookman Old Style"/>
          <w:szCs w:val="24"/>
        </w:rPr>
        <w:t xml:space="preserve">          </w:t>
      </w:r>
      <w:r w:rsidR="00C841ED" w:rsidRPr="00614A46">
        <w:rPr>
          <w:rFonts w:ascii="Bookman Old Style" w:hAnsi="Bookman Old Style"/>
          <w:szCs w:val="24"/>
        </w:rPr>
        <w:tab/>
      </w:r>
      <w:r w:rsidRPr="00614A46">
        <w:rPr>
          <w:rFonts w:ascii="Bookman Old Style" w:hAnsi="Bookman Old Style"/>
          <w:szCs w:val="24"/>
        </w:rPr>
        <w:t xml:space="preserve">(2)  </w:t>
      </w:r>
      <w:r w:rsidR="00E1431E" w:rsidRPr="00614A46">
        <w:rPr>
          <w:rFonts w:ascii="Bookman Old Style" w:hAnsi="Bookman Old Style"/>
          <w:szCs w:val="24"/>
        </w:rPr>
        <w:t xml:space="preserve">   </w:t>
      </w:r>
      <w:r w:rsidRPr="00614A46">
        <w:rPr>
          <w:rFonts w:ascii="Bookman Old Style" w:hAnsi="Bookman Old Style"/>
          <w:szCs w:val="24"/>
        </w:rPr>
        <w:t>was discharge</w:t>
      </w:r>
      <w:r w:rsidR="00E1431E" w:rsidRPr="00614A46">
        <w:rPr>
          <w:rFonts w:ascii="Bookman Old Style" w:hAnsi="Bookman Old Style"/>
          <w:szCs w:val="24"/>
        </w:rPr>
        <w:t>d for misconduct connected with</w:t>
      </w:r>
      <w:r w:rsidRPr="00614A46">
        <w:rPr>
          <w:rFonts w:ascii="Bookman Old Style" w:hAnsi="Bookman Old Style"/>
          <w:szCs w:val="24"/>
        </w:rPr>
        <w:t xml:space="preserve"> the insured </w:t>
      </w:r>
      <w:r w:rsidR="00C841ED" w:rsidRPr="00614A46">
        <w:rPr>
          <w:rFonts w:ascii="Bookman Old Style" w:hAnsi="Bookman Old Style"/>
          <w:szCs w:val="24"/>
        </w:rPr>
        <w:t xml:space="preserve">                </w:t>
      </w:r>
      <w:r w:rsidR="004E4C74">
        <w:rPr>
          <w:rFonts w:ascii="Bookman Old Style" w:hAnsi="Bookman Old Style"/>
          <w:szCs w:val="24"/>
        </w:rPr>
        <w:t xml:space="preserve">     </w:t>
      </w:r>
      <w:r w:rsidRPr="00614A46">
        <w:rPr>
          <w:rFonts w:ascii="Bookman Old Style" w:hAnsi="Bookman Old Style"/>
          <w:szCs w:val="24"/>
        </w:rPr>
        <w:t>worker's last work</w:t>
      </w:r>
      <w:r w:rsidR="00C841ED" w:rsidRPr="00614A46">
        <w:rPr>
          <w:rFonts w:ascii="Bookman Old Style" w:hAnsi="Bookman Old Style"/>
          <w:szCs w:val="24"/>
        </w:rPr>
        <w:t>.</w:t>
      </w:r>
    </w:p>
    <w:p w:rsidR="005F35F2" w:rsidRPr="00614A46" w:rsidRDefault="005F35F2" w:rsidP="00614A46">
      <w:pPr>
        <w:tabs>
          <w:tab w:val="left" w:pos="-1440"/>
          <w:tab w:val="left" w:pos="-720"/>
          <w:tab w:val="left" w:pos="0"/>
          <w:tab w:val="left" w:pos="720"/>
          <w:tab w:val="left" w:pos="1440"/>
        </w:tabs>
        <w:suppressAutoHyphens/>
        <w:ind w:right="-360"/>
        <w:rPr>
          <w:rFonts w:ascii="Bookman Old Style" w:hAnsi="Bookman Old Style"/>
          <w:szCs w:val="24"/>
        </w:rPr>
      </w:pPr>
    </w:p>
    <w:p w:rsidR="00F36FB9" w:rsidRPr="00614A46" w:rsidRDefault="00F36FB9" w:rsidP="00614A46">
      <w:pPr>
        <w:widowControl/>
        <w:numPr>
          <w:ilvl w:val="0"/>
          <w:numId w:val="12"/>
        </w:numPr>
        <w:snapToGrid w:val="0"/>
        <w:rPr>
          <w:rFonts w:ascii="Bookman Old Style" w:hAnsi="Bookman Old Style"/>
          <w:spacing w:val="-3"/>
          <w:szCs w:val="24"/>
        </w:rPr>
      </w:pPr>
      <w:r w:rsidRPr="00614A46">
        <w:rPr>
          <w:rFonts w:ascii="Bookman Old Style" w:hAnsi="Bookman Old Style"/>
          <w:spacing w:val="-3"/>
          <w:szCs w:val="24"/>
        </w:rPr>
        <w:t>The department shall reduce the maximum potential benefits to which an insured worker disqualified under this section would have been entitled by three times the insured worker’s weekly benefit amount, excluding the allowance for dependents, or by the amount of unpaid benefits to which the insured work is entitled, whichever is less.</w:t>
      </w:r>
    </w:p>
    <w:p w:rsidR="00F36FB9" w:rsidRPr="00614A46" w:rsidRDefault="00F36FB9" w:rsidP="00614A46">
      <w:pPr>
        <w:ind w:left="720"/>
        <w:rPr>
          <w:rFonts w:ascii="Bookman Old Style" w:hAnsi="Bookman Old Style"/>
          <w:spacing w:val="-3"/>
          <w:szCs w:val="24"/>
        </w:rPr>
      </w:pPr>
    </w:p>
    <w:p w:rsidR="00F36FB9" w:rsidRPr="00614A46" w:rsidRDefault="00F36FB9" w:rsidP="00614A46">
      <w:pPr>
        <w:widowControl/>
        <w:numPr>
          <w:ilvl w:val="0"/>
          <w:numId w:val="12"/>
        </w:numPr>
        <w:snapToGrid w:val="0"/>
        <w:rPr>
          <w:rFonts w:ascii="Bookman Old Style" w:hAnsi="Bookman Old Style"/>
          <w:spacing w:val="-3"/>
          <w:szCs w:val="24"/>
        </w:rPr>
      </w:pPr>
      <w:r w:rsidRPr="00614A46">
        <w:rPr>
          <w:rFonts w:ascii="Bookman Old Style" w:hAnsi="Bookman Old Style"/>
          <w:spacing w:val="-3"/>
          <w:szCs w:val="24"/>
        </w:rPr>
        <w:t>The disqualification required in (a) and (b) of this section is terminated if the insured worker returns to employment and earns at least eight times the insured worker’s weekly benefit amount.</w:t>
      </w:r>
    </w:p>
    <w:p w:rsidR="00F36FB9" w:rsidRPr="00614A46" w:rsidRDefault="00F36FB9" w:rsidP="00614A46">
      <w:pPr>
        <w:rPr>
          <w:rFonts w:ascii="Bookman Old Style" w:hAnsi="Bookman Old Style"/>
          <w:spacing w:val="-3"/>
          <w:szCs w:val="24"/>
        </w:rPr>
      </w:pPr>
    </w:p>
    <w:p w:rsidR="00F36FB9" w:rsidRPr="00614A46" w:rsidRDefault="00F36FB9" w:rsidP="00614A46">
      <w:pPr>
        <w:widowControl/>
        <w:numPr>
          <w:ilvl w:val="0"/>
          <w:numId w:val="12"/>
        </w:numPr>
        <w:snapToGrid w:val="0"/>
        <w:rPr>
          <w:rFonts w:ascii="Bookman Old Style" w:hAnsi="Bookman Old Style"/>
          <w:szCs w:val="24"/>
        </w:rPr>
      </w:pPr>
      <w:r w:rsidRPr="00614A46">
        <w:rPr>
          <w:rFonts w:ascii="Bookman Old Style" w:hAnsi="Bookman Old Style"/>
          <w:szCs w:val="24"/>
        </w:rPr>
        <w:t xml:space="preserve">An insured worker is disqualified for waiting-week credit or benefits for the first week in which the insured worker is unemployed and for the next 51 weeks of unemployment following that week or until the individual has worked subsequent to the discharge from work and earned 20 times the insured worker's weekly benefit amount in employment covered under this chapter if the insured worker was discharged for commission of a felony or theft in connection with the work.  In addition, the insured worker is not eligible for extended benefits under this chapter until the </w:t>
      </w:r>
      <w:r w:rsidRPr="00614A46">
        <w:rPr>
          <w:rFonts w:ascii="Bookman Old Style" w:hAnsi="Bookman Old Style"/>
          <w:szCs w:val="24"/>
        </w:rPr>
        <w:lastRenderedPageBreak/>
        <w:t>worker has requalified for benefits by meeting the earnings requirement in this subsection.</w:t>
      </w:r>
    </w:p>
    <w:p w:rsidR="005F35F2" w:rsidRPr="00614A46" w:rsidRDefault="005F35F2" w:rsidP="00614A46">
      <w:pPr>
        <w:rPr>
          <w:rFonts w:ascii="Bookman Old Style" w:hAnsi="Bookman Old Style"/>
          <w:szCs w:val="24"/>
        </w:rPr>
      </w:pPr>
    </w:p>
    <w:p w:rsidR="005F35F2" w:rsidRPr="00614A46" w:rsidRDefault="005F35F2" w:rsidP="00614A46">
      <w:pPr>
        <w:pStyle w:val="Heading2"/>
        <w:jc w:val="left"/>
        <w:rPr>
          <w:rFonts w:ascii="Bookman Old Style" w:hAnsi="Bookman Old Style"/>
          <w:szCs w:val="24"/>
        </w:rPr>
      </w:pPr>
      <w:r w:rsidRPr="00614A46">
        <w:rPr>
          <w:rFonts w:ascii="Bookman Old Style" w:hAnsi="Bookman Old Style"/>
          <w:szCs w:val="24"/>
        </w:rPr>
        <w:t>AS 11.81.330 Justification, provides in part:</w:t>
      </w:r>
    </w:p>
    <w:p w:rsidR="005F35F2" w:rsidRPr="00614A46" w:rsidRDefault="005F35F2" w:rsidP="00614A46">
      <w:pPr>
        <w:rPr>
          <w:rFonts w:ascii="Bookman Old Style" w:hAnsi="Bookman Old Style"/>
          <w:szCs w:val="24"/>
        </w:rPr>
      </w:pPr>
    </w:p>
    <w:p w:rsidR="005F35F2" w:rsidRPr="00614A46" w:rsidRDefault="005F35F2" w:rsidP="00614A46">
      <w:pPr>
        <w:numPr>
          <w:ilvl w:val="0"/>
          <w:numId w:val="6"/>
        </w:numPr>
        <w:rPr>
          <w:rFonts w:ascii="Bookman Old Style" w:hAnsi="Bookman Old Style"/>
          <w:szCs w:val="24"/>
        </w:rPr>
      </w:pPr>
      <w:r w:rsidRPr="00614A46">
        <w:rPr>
          <w:rFonts w:ascii="Bookman Old Style" w:hAnsi="Bookman Old Style"/>
          <w:szCs w:val="24"/>
        </w:rPr>
        <w:t xml:space="preserve">A person may use non-deadly force upon another when and to the </w:t>
      </w:r>
      <w:r w:rsidR="00614A46">
        <w:rPr>
          <w:rFonts w:ascii="Bookman Old Style" w:hAnsi="Bookman Old Style"/>
          <w:szCs w:val="24"/>
        </w:rPr>
        <w:t xml:space="preserve">    </w:t>
      </w:r>
      <w:r w:rsidRPr="00614A46">
        <w:rPr>
          <w:rFonts w:ascii="Bookman Old Style" w:hAnsi="Bookman Old Style"/>
          <w:szCs w:val="24"/>
        </w:rPr>
        <w:t xml:space="preserve">extent the person reasonably believes it is necessary for self </w:t>
      </w:r>
      <w:r w:rsidR="00614A46">
        <w:rPr>
          <w:rFonts w:ascii="Bookman Old Style" w:hAnsi="Bookman Old Style"/>
          <w:szCs w:val="24"/>
        </w:rPr>
        <w:t xml:space="preserve">               </w:t>
      </w:r>
      <w:r w:rsidRPr="00614A46">
        <w:rPr>
          <w:rFonts w:ascii="Bookman Old Style" w:hAnsi="Bookman Old Style"/>
          <w:szCs w:val="24"/>
        </w:rPr>
        <w:t xml:space="preserve">defense against what the person reasonably believes to be the use      </w:t>
      </w:r>
      <w:r w:rsidR="00614A46">
        <w:rPr>
          <w:rFonts w:ascii="Bookman Old Style" w:hAnsi="Bookman Old Style"/>
          <w:szCs w:val="24"/>
        </w:rPr>
        <w:t xml:space="preserve"> </w:t>
      </w:r>
      <w:r w:rsidRPr="00614A46">
        <w:rPr>
          <w:rFonts w:ascii="Bookman Old Style" w:hAnsi="Bookman Old Style"/>
          <w:szCs w:val="24"/>
        </w:rPr>
        <w:t xml:space="preserve">of unlawful force by the other… </w:t>
      </w:r>
    </w:p>
    <w:p w:rsidR="005F35F2" w:rsidRPr="00614A46" w:rsidRDefault="005F35F2" w:rsidP="00614A46">
      <w:pPr>
        <w:ind w:left="1080"/>
        <w:rPr>
          <w:rFonts w:ascii="Bookman Old Style" w:hAnsi="Bookman Old Style"/>
          <w:szCs w:val="24"/>
        </w:rPr>
      </w:pPr>
    </w:p>
    <w:p w:rsidR="005F35F2" w:rsidRPr="00614A46" w:rsidRDefault="005F35F2" w:rsidP="00614A46">
      <w:pPr>
        <w:tabs>
          <w:tab w:val="left" w:pos="-1440"/>
          <w:tab w:val="left" w:pos="-720"/>
          <w:tab w:val="left" w:pos="0"/>
          <w:tab w:val="left" w:pos="720"/>
          <w:tab w:val="left" w:pos="1440"/>
        </w:tabs>
        <w:suppressAutoHyphens/>
        <w:ind w:left="1440" w:right="-360" w:hanging="1440"/>
        <w:rPr>
          <w:rFonts w:ascii="Bookman Old Style" w:hAnsi="Bookman Old Style"/>
          <w:szCs w:val="24"/>
        </w:rPr>
      </w:pPr>
      <w:r w:rsidRPr="00614A46">
        <w:rPr>
          <w:rStyle w:val="Strong"/>
          <w:rFonts w:ascii="Bookman Old Style" w:hAnsi="Bookman Old Style"/>
          <w:b w:val="0"/>
          <w:szCs w:val="24"/>
        </w:rPr>
        <w:tab/>
        <w:t xml:space="preserve"> (b)</w:t>
      </w:r>
      <w:r w:rsidRPr="00614A46">
        <w:rPr>
          <w:rFonts w:ascii="Bookman Old Style" w:hAnsi="Bookman Old Style"/>
          <w:szCs w:val="24"/>
        </w:rPr>
        <w:t xml:space="preserve"> </w:t>
      </w:r>
      <w:r w:rsidRPr="00614A46">
        <w:rPr>
          <w:rFonts w:ascii="Bookman Old Style" w:hAnsi="Bookman Old Style"/>
          <w:szCs w:val="24"/>
        </w:rPr>
        <w:tab/>
        <w:t xml:space="preserve">…the person claiming the defense of justification may use non-deadly force if that person has withdrawn from the encounter and </w:t>
      </w:r>
      <w:r w:rsidR="00D83A7C" w:rsidRPr="00614A46">
        <w:rPr>
          <w:rFonts w:ascii="Bookman Old Style" w:hAnsi="Bookman Old Style"/>
          <w:szCs w:val="24"/>
        </w:rPr>
        <w:t>effectively communicated</w:t>
      </w:r>
      <w:r w:rsidRPr="00614A46">
        <w:rPr>
          <w:rFonts w:ascii="Bookman Old Style" w:hAnsi="Bookman Old Style"/>
          <w:szCs w:val="24"/>
        </w:rPr>
        <w:t xml:space="preserve"> the withdrawal to the other person, but the other         person persists in continuing the incident by the use of unlawful     force.</w:t>
      </w:r>
      <w:r w:rsidRPr="00614A46">
        <w:rPr>
          <w:rFonts w:ascii="Bookman Old Style" w:hAnsi="Bookman Old Style"/>
          <w:szCs w:val="24"/>
        </w:rPr>
        <w:tab/>
      </w:r>
      <w:r w:rsidRPr="00614A46">
        <w:rPr>
          <w:rFonts w:ascii="Bookman Old Style" w:hAnsi="Bookman Old Style"/>
          <w:szCs w:val="24"/>
        </w:rPr>
        <w:tab/>
      </w:r>
    </w:p>
    <w:p w:rsidR="005F35F2" w:rsidRPr="00614A46" w:rsidRDefault="005F35F2" w:rsidP="00614A46">
      <w:pPr>
        <w:tabs>
          <w:tab w:val="left" w:pos="-1440"/>
          <w:tab w:val="left" w:pos="-720"/>
          <w:tab w:val="left" w:pos="0"/>
          <w:tab w:val="left" w:pos="720"/>
          <w:tab w:val="left" w:pos="1440"/>
        </w:tabs>
        <w:suppressAutoHyphens/>
        <w:ind w:right="-360"/>
        <w:rPr>
          <w:rFonts w:ascii="Bookman Old Style" w:hAnsi="Bookman Old Style"/>
          <w:szCs w:val="24"/>
        </w:rPr>
      </w:pP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b/>
          <w:szCs w:val="24"/>
        </w:rPr>
      </w:pPr>
      <w:r w:rsidRPr="00614A46">
        <w:rPr>
          <w:rFonts w:ascii="Bookman Old Style" w:hAnsi="Bookman Old Style"/>
          <w:b/>
          <w:szCs w:val="24"/>
        </w:rPr>
        <w:t>8 AAC 85.095 provides in part:</w:t>
      </w: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szCs w:val="24"/>
        </w:rPr>
      </w:pPr>
    </w:p>
    <w:p w:rsidR="00E1431E" w:rsidRPr="00614A46" w:rsidRDefault="00E1431E" w:rsidP="00614A46">
      <w:pPr>
        <w:tabs>
          <w:tab w:val="left" w:pos="-1440"/>
          <w:tab w:val="left" w:pos="-720"/>
          <w:tab w:val="left" w:pos="720"/>
          <w:tab w:val="left" w:pos="1440"/>
        </w:tabs>
        <w:suppressAutoHyphens/>
        <w:ind w:left="1440" w:right="-360" w:hanging="1440"/>
        <w:rPr>
          <w:rFonts w:ascii="Bookman Old Style" w:hAnsi="Bookman Old Style"/>
          <w:szCs w:val="24"/>
        </w:rPr>
      </w:pPr>
      <w:r w:rsidRPr="00614A46">
        <w:rPr>
          <w:rFonts w:ascii="Bookman Old Style" w:hAnsi="Bookman Old Style"/>
          <w:szCs w:val="24"/>
        </w:rPr>
        <w:tab/>
      </w:r>
      <w:r w:rsidR="0016206D" w:rsidRPr="00614A46">
        <w:rPr>
          <w:rFonts w:ascii="Bookman Old Style" w:hAnsi="Bookman Old Style"/>
          <w:szCs w:val="24"/>
        </w:rPr>
        <w:t xml:space="preserve">(d)  </w:t>
      </w:r>
      <w:r w:rsidRPr="00614A46">
        <w:rPr>
          <w:rFonts w:ascii="Bookman Old Style" w:hAnsi="Bookman Old Style"/>
          <w:szCs w:val="24"/>
        </w:rPr>
        <w:t xml:space="preserve">   </w:t>
      </w:r>
      <w:r w:rsidR="0016206D" w:rsidRPr="00614A46">
        <w:rPr>
          <w:rFonts w:ascii="Bookman Old Style" w:hAnsi="Bookman Old Style"/>
          <w:szCs w:val="24"/>
        </w:rPr>
        <w:t>"Misconduct connected with the insured worker's work" as</w:t>
      </w:r>
      <w:r w:rsidRPr="00614A46">
        <w:rPr>
          <w:rFonts w:ascii="Bookman Old Style" w:hAnsi="Bookman Old Style"/>
          <w:szCs w:val="24"/>
        </w:rPr>
        <w:t xml:space="preserve"> </w:t>
      </w:r>
      <w:r w:rsidR="0016206D" w:rsidRPr="00614A46">
        <w:rPr>
          <w:rFonts w:ascii="Bookman Old Style" w:hAnsi="Bookman Old Style"/>
          <w:szCs w:val="24"/>
        </w:rPr>
        <w:t xml:space="preserve">used in </w:t>
      </w:r>
    </w:p>
    <w:p w:rsidR="0016206D" w:rsidRPr="00614A46" w:rsidRDefault="00E1431E" w:rsidP="00614A46">
      <w:pPr>
        <w:tabs>
          <w:tab w:val="left" w:pos="-1440"/>
          <w:tab w:val="left" w:pos="-720"/>
          <w:tab w:val="left" w:pos="720"/>
          <w:tab w:val="left" w:pos="1440"/>
        </w:tabs>
        <w:suppressAutoHyphens/>
        <w:ind w:left="1440" w:right="-360" w:hanging="1440"/>
        <w:rPr>
          <w:rFonts w:ascii="Bookman Old Style" w:hAnsi="Bookman Old Style"/>
          <w:szCs w:val="24"/>
        </w:rPr>
      </w:pPr>
      <w:r w:rsidRPr="00614A46">
        <w:rPr>
          <w:rFonts w:ascii="Bookman Old Style" w:hAnsi="Bookman Old Style"/>
          <w:szCs w:val="24"/>
        </w:rPr>
        <w:t xml:space="preserve">                   </w:t>
      </w:r>
      <w:r w:rsidR="0016206D" w:rsidRPr="00614A46">
        <w:rPr>
          <w:rFonts w:ascii="Bookman Old Style" w:hAnsi="Bookman Old Style"/>
          <w:szCs w:val="24"/>
        </w:rPr>
        <w:t>AS 23.20.379(a)(2) means</w:t>
      </w: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szCs w:val="24"/>
        </w:rPr>
      </w:pPr>
    </w:p>
    <w:p w:rsidR="0016206D" w:rsidRPr="00614A46" w:rsidRDefault="00E1431E" w:rsidP="00614A46">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614A46">
        <w:rPr>
          <w:rFonts w:ascii="Bookman Old Style" w:hAnsi="Bookman Old Style"/>
          <w:szCs w:val="24"/>
        </w:rPr>
        <w:tab/>
      </w:r>
      <w:r w:rsidRPr="00614A46">
        <w:rPr>
          <w:rFonts w:ascii="Bookman Old Style" w:hAnsi="Bookman Old Style"/>
          <w:szCs w:val="24"/>
        </w:rPr>
        <w:tab/>
      </w:r>
      <w:r w:rsidR="0016206D" w:rsidRPr="00614A46">
        <w:rPr>
          <w:rFonts w:ascii="Bookman Old Style" w:hAnsi="Bookman Old Style"/>
          <w:szCs w:val="24"/>
        </w:rPr>
        <w:t xml:space="preserve">(1) </w:t>
      </w:r>
      <w:r w:rsidRPr="00614A46">
        <w:rPr>
          <w:rFonts w:ascii="Bookman Old Style" w:hAnsi="Bookman Old Style"/>
          <w:szCs w:val="24"/>
        </w:rPr>
        <w:t xml:space="preserve">  </w:t>
      </w:r>
      <w:r w:rsidR="0016206D" w:rsidRPr="00614A46">
        <w:rPr>
          <w:rFonts w:ascii="Bookman Old Style" w:hAnsi="Bookman Old Style"/>
          <w:szCs w:val="24"/>
        </w:rPr>
        <w:t xml:space="preserve"> </w:t>
      </w:r>
      <w:r w:rsidRPr="00614A46">
        <w:rPr>
          <w:rFonts w:ascii="Bookman Old Style" w:hAnsi="Bookman Old Style"/>
          <w:szCs w:val="24"/>
        </w:rPr>
        <w:t xml:space="preserve"> </w:t>
      </w:r>
      <w:r w:rsidR="00C841ED" w:rsidRPr="00614A46">
        <w:rPr>
          <w:rFonts w:ascii="Bookman Old Style" w:hAnsi="Bookman Old Style"/>
          <w:szCs w:val="24"/>
        </w:rPr>
        <w:t xml:space="preserve"> </w:t>
      </w:r>
      <w:r w:rsidR="0016206D" w:rsidRPr="00614A46">
        <w:rPr>
          <w:rFonts w:ascii="Bookman Old Style" w:hAnsi="Bookman Old Style"/>
          <w:szCs w:val="24"/>
        </w:rPr>
        <w:t>a claimant's conduct on the job, if the conduct</w:t>
      </w:r>
      <w:r w:rsidRPr="00614A46">
        <w:rPr>
          <w:rFonts w:ascii="Bookman Old Style" w:hAnsi="Bookman Old Style"/>
          <w:szCs w:val="24"/>
        </w:rPr>
        <w:t xml:space="preserve"> </w:t>
      </w:r>
      <w:r w:rsidR="0016206D" w:rsidRPr="00614A46">
        <w:rPr>
          <w:rFonts w:ascii="Bookman Old Style" w:hAnsi="Bookman Old Style"/>
          <w:szCs w:val="24"/>
        </w:rPr>
        <w:t>shows a wil</w:t>
      </w:r>
      <w:r w:rsidR="00C841ED" w:rsidRPr="00614A46">
        <w:rPr>
          <w:rFonts w:ascii="Bookman Old Style" w:hAnsi="Bookman Old Style"/>
          <w:szCs w:val="24"/>
        </w:rPr>
        <w:t>l</w:t>
      </w:r>
      <w:r w:rsidR="0016206D" w:rsidRPr="00614A46">
        <w:rPr>
          <w:rFonts w:ascii="Bookman Old Style" w:hAnsi="Bookman Old Style"/>
          <w:szCs w:val="24"/>
        </w:rPr>
        <w:t>ful and wanton disregard of the employer's interes</w:t>
      </w:r>
      <w:r w:rsidRPr="00614A46">
        <w:rPr>
          <w:rFonts w:ascii="Bookman Old Style" w:hAnsi="Bookman Old Style"/>
          <w:szCs w:val="24"/>
        </w:rPr>
        <w:t xml:space="preserve">t, as a claimant might show, for </w:t>
      </w:r>
      <w:r w:rsidR="0016206D" w:rsidRPr="00614A46">
        <w:rPr>
          <w:rFonts w:ascii="Bookman Old Style" w:hAnsi="Bookman Old Style"/>
          <w:szCs w:val="24"/>
        </w:rPr>
        <w:t>example, through gross or repeated negligence, wil</w:t>
      </w:r>
      <w:r w:rsidR="00C841ED" w:rsidRPr="00614A46">
        <w:rPr>
          <w:rFonts w:ascii="Bookman Old Style" w:hAnsi="Bookman Old Style"/>
          <w:szCs w:val="24"/>
        </w:rPr>
        <w:t>l</w:t>
      </w:r>
      <w:r w:rsidR="0016206D" w:rsidRPr="00614A46">
        <w:rPr>
          <w:rFonts w:ascii="Bookman Old Style" w:hAnsi="Bookman Old Style"/>
          <w:szCs w:val="24"/>
        </w:rPr>
        <w:t>ful violation of reasonable work rules, or deliberate violation or disregard of standards of behavior that the employer has the right to expect of an employee; wil</w:t>
      </w:r>
      <w:r w:rsidR="00C841ED" w:rsidRPr="00614A46">
        <w:rPr>
          <w:rFonts w:ascii="Bookman Old Style" w:hAnsi="Bookman Old Style"/>
          <w:szCs w:val="24"/>
        </w:rPr>
        <w:t>l</w:t>
      </w:r>
      <w:r w:rsidR="0016206D" w:rsidRPr="00614A46">
        <w:rPr>
          <w:rFonts w:ascii="Bookman Old Style" w:hAnsi="Bookman Old Style"/>
          <w:szCs w:val="24"/>
        </w:rPr>
        <w:t>ful and wanton disregard of the employer's interest does not arise solely from inefficiency, unsatisfactory performance as the result of inability or incapacity, inadvertence,</w:t>
      </w:r>
      <w:r w:rsidRPr="00614A46">
        <w:rPr>
          <w:rFonts w:ascii="Bookman Old Style" w:hAnsi="Bookman Old Style"/>
          <w:szCs w:val="24"/>
        </w:rPr>
        <w:t xml:space="preserve"> </w:t>
      </w:r>
      <w:r w:rsidR="0016206D" w:rsidRPr="00614A46">
        <w:rPr>
          <w:rFonts w:ascii="Bookman Old Style" w:hAnsi="Bookman Old Style"/>
          <w:szCs w:val="24"/>
        </w:rPr>
        <w:t>ordinary negligence in isolated instances, or good faith errors in judgment or discretion....</w:t>
      </w:r>
    </w:p>
    <w:p w:rsidR="0016206D" w:rsidRPr="00614A46" w:rsidRDefault="0016206D" w:rsidP="00614A46">
      <w:pPr>
        <w:tabs>
          <w:tab w:val="left" w:pos="-1440"/>
          <w:tab w:val="left" w:pos="-720"/>
          <w:tab w:val="left" w:pos="0"/>
          <w:tab w:val="left" w:pos="720"/>
          <w:tab w:val="left" w:pos="1440"/>
        </w:tabs>
        <w:suppressAutoHyphens/>
        <w:ind w:right="-360"/>
        <w:rPr>
          <w:rFonts w:ascii="Bookman Old Style" w:hAnsi="Bookman Old Style"/>
          <w:szCs w:val="24"/>
        </w:rPr>
      </w:pPr>
    </w:p>
    <w:p w:rsidR="00D52E80" w:rsidRPr="00614A46" w:rsidRDefault="00D52E80" w:rsidP="00614A46">
      <w:pPr>
        <w:pStyle w:val="Default"/>
        <w:ind w:left="1440" w:hanging="720"/>
        <w:rPr>
          <w:rFonts w:ascii="Bookman Old Style" w:hAnsi="Bookman Old Style"/>
          <w:iCs/>
        </w:rPr>
      </w:pPr>
      <w:r w:rsidRPr="00614A46">
        <w:rPr>
          <w:rFonts w:ascii="Bookman Old Style" w:hAnsi="Bookman Old Style"/>
          <w:iCs/>
        </w:rPr>
        <w:t xml:space="preserve">(e) </w:t>
      </w:r>
      <w:r w:rsidRPr="00614A46">
        <w:rPr>
          <w:rFonts w:ascii="Bookman Old Style" w:hAnsi="Bookman Old Style"/>
          <w:iCs/>
        </w:rPr>
        <w:tab/>
        <w:t xml:space="preserve">A discharge for an act that constitutes commission of a felony or theft will result in a disqualification for benefits under AS 23.20.379(e) if </w:t>
      </w:r>
    </w:p>
    <w:p w:rsidR="00D52E80" w:rsidRPr="00614A46" w:rsidRDefault="00D52E80" w:rsidP="00614A46">
      <w:pPr>
        <w:pStyle w:val="Default"/>
        <w:ind w:left="1440" w:hanging="720"/>
        <w:rPr>
          <w:rFonts w:ascii="Bookman Old Style" w:hAnsi="Bookman Old Style"/>
        </w:rPr>
      </w:pPr>
    </w:p>
    <w:p w:rsidR="00D52E80" w:rsidRPr="002A2C00" w:rsidRDefault="00D52E80" w:rsidP="002A2C00">
      <w:pPr>
        <w:pStyle w:val="Default"/>
        <w:ind w:left="2160" w:hanging="720"/>
        <w:rPr>
          <w:rFonts w:ascii="Bookman Old Style" w:hAnsi="Bookman Old Style"/>
          <w:iCs/>
        </w:rPr>
      </w:pPr>
      <w:r w:rsidRPr="00614A46">
        <w:rPr>
          <w:rFonts w:ascii="Bookman Old Style" w:hAnsi="Bookman Old Style"/>
          <w:iCs/>
        </w:rPr>
        <w:t xml:space="preserve">(1) </w:t>
      </w:r>
      <w:r w:rsidRPr="00614A46">
        <w:rPr>
          <w:rFonts w:ascii="Bookman Old Style" w:hAnsi="Bookman Old Style"/>
          <w:iCs/>
        </w:rPr>
        <w:tab/>
        <w:t xml:space="preserve">charges are filed against the claimant or the employer has reported the act to the appropriate law enforcement authority; </w:t>
      </w:r>
    </w:p>
    <w:p w:rsidR="00D52E80" w:rsidRPr="002A2C00" w:rsidRDefault="00D52E80" w:rsidP="002A2C00">
      <w:pPr>
        <w:pStyle w:val="Default"/>
        <w:ind w:left="2160" w:hanging="720"/>
        <w:rPr>
          <w:rFonts w:ascii="Bookman Old Style" w:hAnsi="Bookman Old Style"/>
          <w:iCs/>
        </w:rPr>
      </w:pPr>
      <w:r w:rsidRPr="00614A46">
        <w:rPr>
          <w:rFonts w:ascii="Bookman Old Style" w:hAnsi="Bookman Old Style"/>
          <w:iCs/>
        </w:rPr>
        <w:t xml:space="preserve">(2) </w:t>
      </w:r>
      <w:r w:rsidRPr="00614A46">
        <w:rPr>
          <w:rFonts w:ascii="Bookman Old Style" w:hAnsi="Bookman Old Style"/>
          <w:iCs/>
        </w:rPr>
        <w:tab/>
        <w:t xml:space="preserve">the felony or theft is "misconduct connected with the insured worker's work" under (d) of this section; and </w:t>
      </w:r>
    </w:p>
    <w:p w:rsidR="00D52E80" w:rsidRPr="002A2C00" w:rsidRDefault="00D52E80" w:rsidP="00614A46">
      <w:pPr>
        <w:pStyle w:val="Default"/>
        <w:numPr>
          <w:ilvl w:val="0"/>
          <w:numId w:val="13"/>
        </w:numPr>
        <w:rPr>
          <w:rFonts w:ascii="Bookman Old Style" w:hAnsi="Bookman Old Style"/>
          <w:iCs/>
        </w:rPr>
      </w:pPr>
      <w:r w:rsidRPr="00614A46">
        <w:rPr>
          <w:rFonts w:ascii="Bookman Old Style" w:hAnsi="Bookman Old Style"/>
          <w:iCs/>
        </w:rPr>
        <w:t xml:space="preserve">a preponderance of the evidence establishes that </w:t>
      </w:r>
    </w:p>
    <w:p w:rsidR="00D52E80" w:rsidRPr="002A2C00" w:rsidRDefault="00D52E80" w:rsidP="002A2C00">
      <w:pPr>
        <w:pStyle w:val="Default"/>
        <w:numPr>
          <w:ilvl w:val="0"/>
          <w:numId w:val="5"/>
        </w:numPr>
        <w:rPr>
          <w:rFonts w:ascii="Bookman Old Style" w:hAnsi="Bookman Old Style"/>
          <w:iCs/>
        </w:rPr>
      </w:pPr>
      <w:r w:rsidRPr="00614A46">
        <w:rPr>
          <w:rFonts w:ascii="Bookman Old Style" w:hAnsi="Bookman Old Style"/>
          <w:iCs/>
        </w:rPr>
        <w:t xml:space="preserve">the claimant committed the act; and </w:t>
      </w:r>
    </w:p>
    <w:p w:rsidR="00D52E80" w:rsidRPr="00614A46" w:rsidRDefault="00D52E80" w:rsidP="00614A46">
      <w:pPr>
        <w:pStyle w:val="Default"/>
        <w:ind w:left="2160"/>
        <w:rPr>
          <w:rFonts w:ascii="Bookman Old Style" w:hAnsi="Bookman Old Style"/>
          <w:iCs/>
        </w:rPr>
      </w:pPr>
      <w:r w:rsidRPr="00614A46">
        <w:rPr>
          <w:rFonts w:ascii="Bookman Old Style" w:hAnsi="Bookman Old Style"/>
          <w:iCs/>
        </w:rPr>
        <w:t xml:space="preserve">(B) </w:t>
      </w:r>
      <w:r w:rsidRPr="00614A46">
        <w:rPr>
          <w:rFonts w:ascii="Bookman Old Style" w:hAnsi="Bookman Old Style"/>
          <w:iCs/>
        </w:rPr>
        <w:tab/>
        <w:t xml:space="preserve">the act was not justified under AS 11.81.300 – </w:t>
      </w:r>
    </w:p>
    <w:p w:rsidR="00D52E80" w:rsidRPr="002A2C00" w:rsidRDefault="00D52E80" w:rsidP="002A2C00">
      <w:pPr>
        <w:pStyle w:val="Default"/>
        <w:ind w:left="2160" w:firstLine="720"/>
        <w:rPr>
          <w:rFonts w:ascii="Bookman Old Style" w:hAnsi="Bookman Old Style"/>
          <w:iCs/>
        </w:rPr>
      </w:pPr>
      <w:r w:rsidRPr="00614A46">
        <w:rPr>
          <w:rFonts w:ascii="Bookman Old Style" w:hAnsi="Bookman Old Style"/>
          <w:iCs/>
        </w:rPr>
        <w:t xml:space="preserve">AS 11.81.450. </w:t>
      </w:r>
    </w:p>
    <w:p w:rsidR="00D52E80" w:rsidRPr="002A2C00" w:rsidRDefault="00D52E80" w:rsidP="002A2C00">
      <w:pPr>
        <w:pStyle w:val="Default"/>
        <w:ind w:left="1440" w:hanging="720"/>
        <w:rPr>
          <w:rFonts w:ascii="Bookman Old Style" w:hAnsi="Bookman Old Style"/>
          <w:iCs/>
        </w:rPr>
      </w:pPr>
      <w:r w:rsidRPr="00614A46">
        <w:rPr>
          <w:rFonts w:ascii="Bookman Old Style" w:hAnsi="Bookman Old Style"/>
          <w:iCs/>
        </w:rPr>
        <w:lastRenderedPageBreak/>
        <w:t xml:space="preserve">(f) </w:t>
      </w:r>
      <w:r w:rsidRPr="00614A46">
        <w:rPr>
          <w:rFonts w:ascii="Bookman Old Style" w:hAnsi="Bookman Old Style"/>
          <w:iCs/>
        </w:rPr>
        <w:tab/>
        <w:t>An acquittal, plea to a lesser charge, or dismissal of charges does not prevent a disqualification for benefits under (e) of this section, if a preponderance of evidence supports that disqualification.</w:t>
      </w:r>
    </w:p>
    <w:p w:rsidR="00D52E80" w:rsidRPr="002A2C00" w:rsidRDefault="00D52E80" w:rsidP="002A2C00">
      <w:pPr>
        <w:pStyle w:val="Default"/>
        <w:ind w:left="720"/>
        <w:rPr>
          <w:rFonts w:ascii="Bookman Old Style" w:hAnsi="Bookman Old Style"/>
          <w:iCs/>
        </w:rPr>
      </w:pPr>
      <w:r w:rsidRPr="00614A46">
        <w:rPr>
          <w:rFonts w:ascii="Bookman Old Style" w:hAnsi="Bookman Old Style"/>
          <w:iCs/>
        </w:rPr>
        <w:t xml:space="preserve">(g) </w:t>
      </w:r>
      <w:r w:rsidRPr="00614A46">
        <w:rPr>
          <w:rFonts w:ascii="Bookman Old Style" w:hAnsi="Bookman Old Style"/>
          <w:iCs/>
        </w:rPr>
        <w:tab/>
        <w:t xml:space="preserve">For purposes of this section </w:t>
      </w:r>
    </w:p>
    <w:p w:rsidR="00D52E80" w:rsidRPr="002A2C00" w:rsidRDefault="00D52E80" w:rsidP="002A2C00">
      <w:pPr>
        <w:pStyle w:val="Default"/>
        <w:numPr>
          <w:ilvl w:val="0"/>
          <w:numId w:val="3"/>
        </w:numPr>
        <w:rPr>
          <w:rFonts w:ascii="Bookman Old Style" w:hAnsi="Bookman Old Style"/>
          <w:iCs/>
        </w:rPr>
      </w:pPr>
      <w:r w:rsidRPr="00614A46">
        <w:rPr>
          <w:rFonts w:ascii="Bookman Old Style" w:hAnsi="Bookman Old Style"/>
          <w:iCs/>
        </w:rPr>
        <w:t xml:space="preserve">"felony" means an act classified as a felony in AS 11; and </w:t>
      </w:r>
    </w:p>
    <w:p w:rsidR="005F35F2" w:rsidRPr="004E4C74" w:rsidRDefault="00D52E80" w:rsidP="004E4C74">
      <w:pPr>
        <w:widowControl/>
        <w:numPr>
          <w:ilvl w:val="0"/>
          <w:numId w:val="3"/>
        </w:numPr>
        <w:spacing w:after="200"/>
        <w:rPr>
          <w:rFonts w:ascii="Bookman Old Style" w:hAnsi="Bookman Old Style"/>
          <w:iCs/>
          <w:szCs w:val="24"/>
        </w:rPr>
      </w:pPr>
      <w:r w:rsidRPr="00614A46">
        <w:rPr>
          <w:rFonts w:ascii="Bookman Old Style" w:hAnsi="Bookman Old Style"/>
          <w:iCs/>
          <w:szCs w:val="24"/>
        </w:rPr>
        <w:t>"theft" means an act described in AS 11.46.100, if the value of the property or service is $50 or more.</w:t>
      </w:r>
    </w:p>
    <w:p w:rsidR="0016206D" w:rsidRPr="00614A46" w:rsidRDefault="0016206D" w:rsidP="00614A46">
      <w:pPr>
        <w:tabs>
          <w:tab w:val="center" w:pos="4860"/>
        </w:tabs>
        <w:suppressAutoHyphens/>
        <w:ind w:right="-360"/>
        <w:rPr>
          <w:rFonts w:ascii="Bookman Old Style" w:hAnsi="Bookman Old Style"/>
          <w:szCs w:val="24"/>
        </w:rPr>
      </w:pPr>
      <w:r w:rsidRPr="00614A46">
        <w:rPr>
          <w:rFonts w:ascii="Bookman Old Style" w:hAnsi="Bookman Old Style"/>
          <w:b/>
          <w:szCs w:val="24"/>
        </w:rPr>
        <w:tab/>
        <w:t>CONCLUSION</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Default="00B00F07"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for violating the employer’s policy by working on his own car and that of an ex-employee. </w:t>
      </w:r>
    </w:p>
    <w:p w:rsidR="00B00F07" w:rsidRDefault="00B00F07" w:rsidP="00614A46">
      <w:pPr>
        <w:tabs>
          <w:tab w:val="left" w:pos="-1440"/>
          <w:tab w:val="left" w:pos="-720"/>
        </w:tabs>
        <w:suppressAutoHyphens/>
        <w:ind w:right="-360"/>
        <w:rPr>
          <w:rFonts w:ascii="Bookman Old Style" w:hAnsi="Bookman Old Style"/>
          <w:szCs w:val="24"/>
        </w:rPr>
      </w:pPr>
    </w:p>
    <w:p w:rsidR="00B00F07" w:rsidRDefault="00B4191D" w:rsidP="00614A46">
      <w:pPr>
        <w:tabs>
          <w:tab w:val="left" w:pos="-1440"/>
          <w:tab w:val="left" w:pos="-720"/>
        </w:tabs>
        <w:suppressAutoHyphens/>
        <w:ind w:right="-360"/>
        <w:rPr>
          <w:rFonts w:ascii="Bookman Old Style" w:hAnsi="Bookman Old Style"/>
          <w:szCs w:val="24"/>
        </w:rPr>
      </w:pPr>
      <w:r>
        <w:rPr>
          <w:rFonts w:ascii="Bookman Old Style" w:hAnsi="Bookman Old Style"/>
          <w:szCs w:val="24"/>
        </w:rPr>
        <w:t>Regulation 8 AAC 85.095(e)-(g) holds that an act of the claimant may constitute felony misconduct if charges are filed and the value of property or services was $50 or more. The claimant argued that he was not in any way responsible for the $219 in charges for the ex-employee’s services.  The claimant further argued that he was not responsible for the $3.49 charge for oil top-off, as he was eligible to receive that service for free.  Thus the claimant believes the services involved were worth $46.94, which does not reach the threshold for felony misconduct.</w:t>
      </w:r>
    </w:p>
    <w:p w:rsidR="00B4191D" w:rsidRDefault="00B4191D" w:rsidP="00614A46">
      <w:pPr>
        <w:tabs>
          <w:tab w:val="left" w:pos="-1440"/>
          <w:tab w:val="left" w:pos="-720"/>
        </w:tabs>
        <w:suppressAutoHyphens/>
        <w:ind w:right="-360"/>
        <w:rPr>
          <w:rFonts w:ascii="Bookman Old Style" w:hAnsi="Bookman Old Style"/>
          <w:szCs w:val="24"/>
        </w:rPr>
      </w:pPr>
    </w:p>
    <w:p w:rsidR="00B4191D" w:rsidRDefault="00B4191D" w:rsidP="00B4191D">
      <w:pPr>
        <w:tabs>
          <w:tab w:val="left" w:pos="-360"/>
        </w:tabs>
        <w:ind w:left="720"/>
        <w:rPr>
          <w:rFonts w:ascii="Bookman Old Style" w:hAnsi="Bookman Old Style"/>
          <w:i/>
          <w:szCs w:val="24"/>
        </w:rPr>
      </w:pPr>
      <w:r>
        <w:rPr>
          <w:rFonts w:ascii="Bookman Old Style" w:hAnsi="Bookman Old Style"/>
          <w:i/>
          <w:szCs w:val="24"/>
        </w:rPr>
        <w:t xml:space="preserve">Misconduct cannot be established on the basis of unproven allegations. </w:t>
      </w:r>
      <w:r>
        <w:rPr>
          <w:rFonts w:ascii="Bookman Old Style" w:hAnsi="Bookman Old Style"/>
          <w:i/>
          <w:szCs w:val="24"/>
          <w:u w:val="single"/>
        </w:rPr>
        <w:t>Cole</w:t>
      </w:r>
      <w:r>
        <w:rPr>
          <w:rFonts w:ascii="Bookman Old Style" w:hAnsi="Bookman Old Style"/>
          <w:i/>
          <w:szCs w:val="24"/>
        </w:rPr>
        <w:t>, Com. Dec. 85HUI006, January 22, 1985.</w:t>
      </w:r>
    </w:p>
    <w:p w:rsidR="00B4191D" w:rsidRDefault="00B4191D" w:rsidP="00B4191D">
      <w:pPr>
        <w:tabs>
          <w:tab w:val="left" w:pos="-360"/>
        </w:tabs>
        <w:ind w:left="720"/>
        <w:rPr>
          <w:rFonts w:ascii="Bookman Old Style" w:hAnsi="Bookman Old Style"/>
          <w:i/>
          <w:szCs w:val="24"/>
        </w:rPr>
      </w:pPr>
    </w:p>
    <w:p w:rsidR="00B4191D" w:rsidRDefault="00B4191D" w:rsidP="00B4191D">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r>
        <w:rPr>
          <w:rFonts w:ascii="Bookman Old Style" w:hAnsi="Bookman Old Style"/>
          <w:i/>
          <w:spacing w:val="-3"/>
          <w:szCs w:val="24"/>
          <w:u w:val="single"/>
        </w:rPr>
        <w:t>Rednal</w:t>
      </w:r>
      <w:r>
        <w:rPr>
          <w:rFonts w:ascii="Bookman Old Style" w:hAnsi="Bookman Old Style"/>
          <w:i/>
          <w:spacing w:val="-3"/>
          <w:szCs w:val="24"/>
        </w:rPr>
        <w:t>, Com. Dec. 86H</w:t>
      </w:r>
      <w:r>
        <w:rPr>
          <w:rFonts w:ascii="Bookman Old Style" w:hAnsi="Bookman Old Style"/>
          <w:i/>
          <w:spacing w:val="-3"/>
          <w:szCs w:val="24"/>
        </w:rPr>
        <w:noBreakHyphen/>
        <w:t>UI-213, August 25, 1986.</w:t>
      </w:r>
    </w:p>
    <w:p w:rsidR="00B4191D" w:rsidRDefault="00B4191D" w:rsidP="00B4191D">
      <w:pPr>
        <w:widowControl/>
        <w:tabs>
          <w:tab w:val="left" w:pos="-1440"/>
          <w:tab w:val="left" w:pos="-720"/>
          <w:tab w:val="left" w:pos="-360"/>
        </w:tabs>
        <w:suppressAutoHyphens/>
        <w:ind w:left="720"/>
        <w:rPr>
          <w:rFonts w:ascii="Bookman Old Style" w:hAnsi="Bookman Old Style"/>
          <w:szCs w:val="24"/>
        </w:rPr>
      </w:pPr>
    </w:p>
    <w:p w:rsidR="00B4191D" w:rsidRDefault="00B4191D" w:rsidP="00B4191D">
      <w:pPr>
        <w:tabs>
          <w:tab w:val="left" w:pos="-1440"/>
          <w:tab w:val="left" w:pos="-720"/>
        </w:tabs>
        <w:suppressAutoHyphens/>
        <w:rPr>
          <w:rFonts w:ascii="Bookman Old Style" w:hAnsi="Bookman Old Style"/>
          <w:i/>
          <w:spacing w:val="-3"/>
        </w:rPr>
      </w:pPr>
      <w:r>
        <w:rPr>
          <w:rFonts w:ascii="Bookman Old Style" w:hAnsi="Bookman Old Style"/>
          <w:szCs w:val="24"/>
        </w:rPr>
        <w:t xml:space="preserve">The decision in this matter turns on the weight of the evidence. </w:t>
      </w: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 2687, February 13, 1997. The commissioner has held in part:</w:t>
      </w:r>
      <w:r>
        <w:rPr>
          <w:rFonts w:ascii="Bookman Old Style" w:hAnsi="Bookman Old Style"/>
          <w:szCs w:val="24"/>
        </w:rPr>
        <w:t xml:space="preserve"> </w:t>
      </w:r>
    </w:p>
    <w:p w:rsidR="00B4191D" w:rsidRDefault="00B4191D" w:rsidP="00B4191D">
      <w:pPr>
        <w:tabs>
          <w:tab w:val="left" w:pos="-1440"/>
          <w:tab w:val="left" w:pos="-720"/>
        </w:tabs>
        <w:suppressAutoHyphens/>
        <w:rPr>
          <w:rFonts w:ascii="Bookman Old Style" w:hAnsi="Bookman Old Style"/>
          <w:i/>
          <w:spacing w:val="-3"/>
        </w:rPr>
      </w:pPr>
    </w:p>
    <w:p w:rsidR="00B4191D" w:rsidRDefault="00B4191D" w:rsidP="00B4191D">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rsidR="00B4191D" w:rsidRDefault="00B4191D" w:rsidP="00B4191D">
      <w:pPr>
        <w:tabs>
          <w:tab w:val="left" w:pos="-1440"/>
          <w:tab w:val="left" w:pos="-720"/>
        </w:tabs>
        <w:suppressAutoHyphens/>
        <w:ind w:left="720"/>
        <w:rPr>
          <w:rFonts w:ascii="Bookman Old Style" w:hAnsi="Bookman Old Style"/>
          <w:i/>
          <w:spacing w:val="-3"/>
        </w:rPr>
      </w:pPr>
    </w:p>
    <w:p w:rsidR="00B4191D" w:rsidRDefault="00B4191D" w:rsidP="00B4191D">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rsidR="00B4191D" w:rsidRPr="00561429" w:rsidRDefault="00B4191D" w:rsidP="00B4191D">
      <w:pPr>
        <w:tabs>
          <w:tab w:val="left" w:pos="-1440"/>
          <w:tab w:val="left" w:pos="-720"/>
        </w:tabs>
        <w:suppressAutoHyphens/>
        <w:rPr>
          <w:rFonts w:ascii="Bookman Old Style" w:hAnsi="Bookman Old Style"/>
        </w:rPr>
      </w:pPr>
    </w:p>
    <w:p w:rsidR="00B4191D" w:rsidRPr="004E4C74" w:rsidRDefault="00B4191D" w:rsidP="004E4C74">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rsidR="003B5880" w:rsidRDefault="00B4191D" w:rsidP="00B4191D">
      <w:pPr>
        <w:widowControl/>
        <w:tabs>
          <w:tab w:val="left" w:pos="-1440"/>
          <w:tab w:val="left" w:pos="-720"/>
        </w:tabs>
        <w:suppressAutoHyphens/>
        <w:rPr>
          <w:rFonts w:ascii="Bookman Old Style" w:hAnsi="Bookman Old Style"/>
          <w:szCs w:val="24"/>
        </w:rPr>
      </w:pPr>
      <w:r>
        <w:rPr>
          <w:rFonts w:ascii="Bookman Old Style" w:hAnsi="Bookman Old Style"/>
          <w:szCs w:val="24"/>
        </w:rPr>
        <w:lastRenderedPageBreak/>
        <w:t xml:space="preserve">The claimant provided credible sworn testimony that he did not give the ex-employee permission to work in the employer’s shop and he did not assist the ex-employee except to move the ex-employees tires out of his way, and that he was eligible for </w:t>
      </w:r>
      <w:r w:rsidR="004E4C74">
        <w:rPr>
          <w:rFonts w:ascii="Bookman Old Style" w:hAnsi="Bookman Old Style"/>
          <w:szCs w:val="24"/>
        </w:rPr>
        <w:t xml:space="preserve">a </w:t>
      </w:r>
      <w:r>
        <w:rPr>
          <w:rFonts w:ascii="Bookman Old Style" w:hAnsi="Bookman Old Style"/>
          <w:szCs w:val="24"/>
        </w:rPr>
        <w:t>free oil top-off</w:t>
      </w:r>
      <w:r w:rsidR="004E4C74">
        <w:rPr>
          <w:rFonts w:ascii="Bookman Old Style" w:hAnsi="Bookman Old Style"/>
          <w:szCs w:val="24"/>
        </w:rPr>
        <w:t>, which made the services obtained by the claimant worth less than $50</w:t>
      </w:r>
      <w:r>
        <w:rPr>
          <w:rFonts w:ascii="Bookman Old Style" w:hAnsi="Bookman Old Style"/>
          <w:szCs w:val="24"/>
        </w:rPr>
        <w:t>. The employer’s hearsay evidence did not establish that the claimant’s actions rose to the level of felony misconduct as described in Regulation 8 AAC 85.095(e)-(g), above</w:t>
      </w:r>
      <w:r w:rsidR="003B5880">
        <w:rPr>
          <w:rFonts w:ascii="Bookman Old Style" w:hAnsi="Bookman Old Style"/>
          <w:szCs w:val="24"/>
        </w:rPr>
        <w:t>, and the penalty provided in AS 23.20.379(e) is not appropriate.</w:t>
      </w:r>
    </w:p>
    <w:p w:rsidR="003B5880" w:rsidRDefault="003B5880" w:rsidP="00B4191D">
      <w:pPr>
        <w:widowControl/>
        <w:tabs>
          <w:tab w:val="left" w:pos="-1440"/>
          <w:tab w:val="left" w:pos="-720"/>
        </w:tabs>
        <w:suppressAutoHyphens/>
        <w:rPr>
          <w:rFonts w:ascii="Bookman Old Style" w:hAnsi="Bookman Old Style"/>
          <w:szCs w:val="24"/>
        </w:rPr>
      </w:pPr>
    </w:p>
    <w:p w:rsidR="003B5880" w:rsidRDefault="003B5880" w:rsidP="00B4191D">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However, the claimant in this case was aware that the employer did not approve of employees working on their own cars during working hours and it has been established that the claimant did work on his own car and perform services worth $46.94, which he did not pay for until he was asked about them. Theft of services </w:t>
      </w:r>
      <w:r w:rsidR="004E4C74">
        <w:rPr>
          <w:rFonts w:ascii="Bookman Old Style" w:hAnsi="Bookman Old Style"/>
          <w:szCs w:val="24"/>
        </w:rPr>
        <w:t>is a willful</w:t>
      </w:r>
      <w:r>
        <w:rPr>
          <w:rFonts w:ascii="Bookman Old Style" w:hAnsi="Bookman Old Style"/>
          <w:szCs w:val="24"/>
        </w:rPr>
        <w:t xml:space="preserve"> disregard of the employer’s interest as described in regulation 8 AAC 85.095(d)</w:t>
      </w:r>
      <w:r w:rsidR="004E4C74">
        <w:rPr>
          <w:rFonts w:ascii="Bookman Old Style" w:hAnsi="Bookman Old Style"/>
          <w:szCs w:val="24"/>
        </w:rPr>
        <w:t>(1)</w:t>
      </w:r>
      <w:r>
        <w:rPr>
          <w:rFonts w:ascii="Bookman Old Style" w:hAnsi="Bookman Old Style"/>
          <w:szCs w:val="24"/>
        </w:rPr>
        <w:t xml:space="preserve">. </w:t>
      </w:r>
    </w:p>
    <w:p w:rsidR="003B5880" w:rsidRDefault="003B5880" w:rsidP="00B4191D">
      <w:pPr>
        <w:widowControl/>
        <w:tabs>
          <w:tab w:val="left" w:pos="-1440"/>
          <w:tab w:val="left" w:pos="-720"/>
        </w:tabs>
        <w:suppressAutoHyphens/>
        <w:rPr>
          <w:rFonts w:ascii="Bookman Old Style" w:hAnsi="Bookman Old Style"/>
          <w:szCs w:val="24"/>
        </w:rPr>
      </w:pPr>
    </w:p>
    <w:p w:rsidR="003B5880" w:rsidRDefault="003B5880" w:rsidP="00B4191D">
      <w:pPr>
        <w:widowControl/>
        <w:tabs>
          <w:tab w:val="left" w:pos="-1440"/>
          <w:tab w:val="left" w:pos="-720"/>
        </w:tabs>
        <w:suppressAutoHyphens/>
        <w:rPr>
          <w:rFonts w:ascii="Bookman Old Style" w:hAnsi="Bookman Old Style"/>
          <w:szCs w:val="24"/>
        </w:rPr>
      </w:pPr>
      <w:r>
        <w:rPr>
          <w:rFonts w:ascii="Bookman Old Style" w:hAnsi="Bookman Old Style"/>
          <w:szCs w:val="24"/>
        </w:rPr>
        <w:t>The Tribunal finds the claimant was discharged for misconduct connected to the work and the penalties of AS 23.20.379(a)</w:t>
      </w:r>
      <w:r w:rsidR="00ED79E8">
        <w:rPr>
          <w:rFonts w:ascii="Bookman Old Style" w:hAnsi="Bookman Old Style"/>
          <w:szCs w:val="24"/>
        </w:rPr>
        <w:t>(</w:t>
      </w:r>
      <w:r>
        <w:rPr>
          <w:rFonts w:ascii="Bookman Old Style" w:hAnsi="Bookman Old Style"/>
          <w:szCs w:val="24"/>
        </w:rPr>
        <w:t>2</w:t>
      </w:r>
      <w:r w:rsidR="00ED79E8">
        <w:rPr>
          <w:rFonts w:ascii="Bookman Old Style" w:hAnsi="Bookman Old Style"/>
          <w:szCs w:val="24"/>
        </w:rPr>
        <w:t>)</w:t>
      </w:r>
      <w:r>
        <w:rPr>
          <w:rFonts w:ascii="Bookman Old Style" w:hAnsi="Bookman Old Style"/>
          <w:szCs w:val="24"/>
        </w:rPr>
        <w:t xml:space="preserve"> are appropriate.</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tabs>
          <w:tab w:val="left" w:pos="-1440"/>
          <w:tab w:val="left" w:pos="-720"/>
        </w:tabs>
        <w:suppressAutoHyphens/>
        <w:jc w:val="center"/>
        <w:rPr>
          <w:rFonts w:ascii="Bookman Old Style" w:hAnsi="Bookman Old Style"/>
          <w:szCs w:val="24"/>
        </w:rPr>
      </w:pPr>
      <w:r w:rsidRPr="00614A46">
        <w:rPr>
          <w:rFonts w:ascii="Bookman Old Style" w:hAnsi="Bookman Old Style"/>
          <w:b/>
          <w:szCs w:val="24"/>
        </w:rPr>
        <w:t>DECISION</w:t>
      </w:r>
    </w:p>
    <w:p w:rsidR="0016206D" w:rsidRPr="00614A46" w:rsidRDefault="0016206D" w:rsidP="00614A46">
      <w:pPr>
        <w:tabs>
          <w:tab w:val="left" w:pos="-1440"/>
          <w:tab w:val="left" w:pos="-720"/>
        </w:tabs>
        <w:suppressAutoHyphens/>
        <w:rPr>
          <w:rFonts w:ascii="Bookman Old Style" w:hAnsi="Bookman Old Style"/>
          <w:szCs w:val="24"/>
        </w:rPr>
      </w:pPr>
    </w:p>
    <w:p w:rsidR="00614A46" w:rsidRDefault="00614A46" w:rsidP="00614A46">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3B5880">
        <w:rPr>
          <w:rFonts w:ascii="Bookman Old Style" w:hAnsi="Bookman Old Style"/>
          <w:szCs w:val="24"/>
        </w:rPr>
        <w:t>July 11, 2019</w:t>
      </w:r>
      <w:r w:rsidRPr="00E1431E">
        <w:rPr>
          <w:rFonts w:ascii="Bookman Old Style" w:hAnsi="Bookman Old Style"/>
        </w:rPr>
        <w:t xml:space="preserve"> is </w:t>
      </w:r>
      <w:r w:rsidR="003B5880">
        <w:rPr>
          <w:rFonts w:ascii="Bookman Old Style" w:hAnsi="Bookman Old Style"/>
          <w:b/>
          <w:szCs w:val="24"/>
        </w:rPr>
        <w:t>MODIFIED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DENIED</w:t>
      </w:r>
      <w:r w:rsidRPr="00DC77EC">
        <w:rPr>
          <w:rFonts w:ascii="Bookman Old Style" w:hAnsi="Bookman Old Style"/>
        </w:rPr>
        <w:t xml:space="preserve"> </w:t>
      </w:r>
      <w:r w:rsidR="003B5880">
        <w:rPr>
          <w:rFonts w:ascii="Bookman Old Style" w:hAnsi="Bookman Old Style"/>
        </w:rPr>
        <w:t>under AS 23.20.379(a)(2)</w:t>
      </w:r>
      <w:r w:rsidR="00ED79E8">
        <w:rPr>
          <w:rFonts w:ascii="Bookman Old Style" w:hAnsi="Bookman Old Style"/>
        </w:rPr>
        <w:t xml:space="preserve"> </w:t>
      </w:r>
      <w:r w:rsidRPr="00E1431E">
        <w:rPr>
          <w:rFonts w:ascii="Bookman Old Style" w:hAnsi="Bookman Old Style"/>
        </w:rPr>
        <w:t>for the weeks endin</w:t>
      </w:r>
      <w:r w:rsidR="00ED79E8">
        <w:rPr>
          <w:rFonts w:ascii="Bookman Old Style" w:hAnsi="Bookman Old Style"/>
        </w:rPr>
        <w:t xml:space="preserve">g </w:t>
      </w:r>
      <w:r w:rsidR="00ED79E8">
        <w:rPr>
          <w:rFonts w:ascii="Bookman Old Style" w:hAnsi="Bookman Old Style"/>
          <w:szCs w:val="24"/>
        </w:rPr>
        <w:t>May 11, 2019 through              June 15, 2019</w:t>
      </w:r>
      <w:r w:rsidR="00ED79E8">
        <w:rPr>
          <w:rFonts w:ascii="Bookman Old Style" w:hAnsi="Bookman Old Style"/>
        </w:rPr>
        <w:t>. T</w:t>
      </w:r>
      <w:r w:rsidRPr="00E1431E">
        <w:rPr>
          <w:rFonts w:ascii="Bookman Old Style" w:hAnsi="Bookman Old Style"/>
        </w:rPr>
        <w:t xml:space="preserve">hree weeks are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rsidR="0016206D" w:rsidRPr="00614A46" w:rsidRDefault="0016206D" w:rsidP="00614A46">
      <w:pPr>
        <w:tabs>
          <w:tab w:val="left" w:pos="-1440"/>
          <w:tab w:val="left" w:pos="-720"/>
        </w:tabs>
        <w:suppressAutoHyphens/>
        <w:ind w:right="-360"/>
        <w:rPr>
          <w:rFonts w:ascii="Bookman Old Style" w:hAnsi="Bookman Old Style"/>
          <w:szCs w:val="24"/>
        </w:rPr>
      </w:pPr>
    </w:p>
    <w:p w:rsidR="0016206D" w:rsidRPr="00614A46" w:rsidRDefault="0016206D" w:rsidP="00614A46">
      <w:pPr>
        <w:tabs>
          <w:tab w:val="center" w:pos="4860"/>
        </w:tabs>
        <w:suppressAutoHyphens/>
        <w:ind w:right="-360"/>
        <w:rPr>
          <w:rFonts w:ascii="Bookman Old Style" w:hAnsi="Bookman Old Style"/>
          <w:szCs w:val="24"/>
        </w:rPr>
      </w:pPr>
      <w:r w:rsidRPr="00614A46">
        <w:rPr>
          <w:rFonts w:ascii="Bookman Old Style" w:hAnsi="Bookman Old Style"/>
          <w:b/>
          <w:szCs w:val="24"/>
        </w:rPr>
        <w:tab/>
        <w:t>APPEAL RIGHTS</w:t>
      </w:r>
    </w:p>
    <w:p w:rsidR="0016206D" w:rsidRPr="00614A46" w:rsidRDefault="0016206D" w:rsidP="00614A46">
      <w:pPr>
        <w:tabs>
          <w:tab w:val="left" w:pos="-1440"/>
          <w:tab w:val="left" w:pos="-720"/>
        </w:tabs>
        <w:suppressAutoHyphens/>
        <w:ind w:right="-360"/>
        <w:rPr>
          <w:rFonts w:ascii="Bookman Old Style" w:hAnsi="Bookman Old Style"/>
          <w:szCs w:val="24"/>
        </w:rPr>
      </w:pPr>
    </w:p>
    <w:p w:rsidR="00614A46" w:rsidRPr="006364B5" w:rsidRDefault="00614A46" w:rsidP="00614A4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614A46" w:rsidRDefault="0016206D" w:rsidP="00614A46">
      <w:pPr>
        <w:tabs>
          <w:tab w:val="left" w:pos="-1440"/>
          <w:tab w:val="left" w:pos="-720"/>
        </w:tabs>
        <w:suppressAutoHyphens/>
        <w:rPr>
          <w:rFonts w:ascii="Bookman Old Style" w:hAnsi="Bookman Old Style"/>
          <w:szCs w:val="24"/>
        </w:rPr>
      </w:pPr>
    </w:p>
    <w:p w:rsidR="0016206D" w:rsidRPr="00614A46" w:rsidRDefault="0016206D" w:rsidP="00614A46">
      <w:pPr>
        <w:tabs>
          <w:tab w:val="left" w:pos="-1440"/>
          <w:tab w:val="left" w:pos="-720"/>
        </w:tabs>
        <w:suppressAutoHyphens/>
        <w:rPr>
          <w:rFonts w:ascii="Bookman Old Style" w:hAnsi="Bookman Old Style"/>
          <w:szCs w:val="24"/>
        </w:rPr>
      </w:pPr>
      <w:r w:rsidRPr="00614A46">
        <w:rPr>
          <w:rFonts w:ascii="Bookman Old Style" w:hAnsi="Bookman Old Style"/>
          <w:szCs w:val="24"/>
        </w:rPr>
        <w:t xml:space="preserve">Dated and </w:t>
      </w:r>
      <w:r w:rsidR="00A247DE" w:rsidRPr="00614A46">
        <w:rPr>
          <w:rFonts w:ascii="Bookman Old Style" w:hAnsi="Bookman Old Style"/>
          <w:szCs w:val="24"/>
        </w:rPr>
        <w:t>m</w:t>
      </w:r>
      <w:r w:rsidRPr="00614A46">
        <w:rPr>
          <w:rFonts w:ascii="Bookman Old Style" w:hAnsi="Bookman Old Style"/>
          <w:szCs w:val="24"/>
        </w:rPr>
        <w:t xml:space="preserve">ailed on </w:t>
      </w:r>
      <w:r w:rsidR="00ED79E8">
        <w:rPr>
          <w:rFonts w:ascii="Bookman Old Style" w:hAnsi="Bookman Old Style"/>
          <w:szCs w:val="24"/>
        </w:rPr>
        <w:t>August 15, 2019</w:t>
      </w:r>
      <w:r w:rsidRPr="00614A46">
        <w:rPr>
          <w:rFonts w:ascii="Bookman Old Style" w:hAnsi="Bookman Old Style"/>
          <w:szCs w:val="24"/>
        </w:rPr>
        <w:t>.</w:t>
      </w:r>
    </w:p>
    <w:p w:rsidR="0016206D" w:rsidRPr="00614A46" w:rsidRDefault="0016206D" w:rsidP="00614A46">
      <w:pPr>
        <w:tabs>
          <w:tab w:val="left" w:pos="-1440"/>
          <w:tab w:val="left" w:pos="-720"/>
        </w:tabs>
        <w:suppressAutoHyphens/>
        <w:rPr>
          <w:rFonts w:ascii="Bookman Old Style" w:hAnsi="Bookman Old Style"/>
          <w:szCs w:val="24"/>
        </w:rPr>
      </w:pPr>
    </w:p>
    <w:p w:rsidR="0016206D" w:rsidRPr="00614A46" w:rsidRDefault="00246F0A" w:rsidP="00614A46">
      <w:pPr>
        <w:tabs>
          <w:tab w:val="left" w:pos="-1440"/>
          <w:tab w:val="left" w:pos="-720"/>
        </w:tabs>
        <w:suppressAutoHyphens/>
        <w:rPr>
          <w:rFonts w:ascii="Bookman Old Style" w:hAnsi="Bookman Old Style"/>
          <w:szCs w:val="24"/>
        </w:rPr>
      </w:pP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t xml:space="preserve">       </w:t>
      </w:r>
    </w:p>
    <w:p w:rsidR="00892D44" w:rsidRPr="00614A46" w:rsidRDefault="00892D44" w:rsidP="00614A46">
      <w:pPr>
        <w:tabs>
          <w:tab w:val="left" w:pos="-1440"/>
          <w:tab w:val="left" w:pos="-720"/>
        </w:tabs>
        <w:suppressAutoHyphens/>
        <w:rPr>
          <w:rFonts w:ascii="Bookman Old Style" w:hAnsi="Bookman Old Style"/>
          <w:szCs w:val="24"/>
        </w:rPr>
      </w:pPr>
    </w:p>
    <w:p w:rsidR="00892D44" w:rsidRPr="00614A46" w:rsidRDefault="00892D44" w:rsidP="00614A46">
      <w:pPr>
        <w:tabs>
          <w:tab w:val="left" w:pos="-1440"/>
          <w:tab w:val="left" w:pos="-720"/>
        </w:tabs>
        <w:suppressAutoHyphens/>
        <w:rPr>
          <w:rFonts w:ascii="Bookman Old Style" w:hAnsi="Bookman Old Style"/>
          <w:szCs w:val="24"/>
        </w:rPr>
      </w:pPr>
    </w:p>
    <w:p w:rsidR="0016206D" w:rsidRPr="00614A46" w:rsidRDefault="0016206D" w:rsidP="00614A46">
      <w:pPr>
        <w:tabs>
          <w:tab w:val="left" w:pos="-1440"/>
          <w:tab w:val="left" w:pos="-720"/>
        </w:tabs>
        <w:suppressAutoHyphens/>
        <w:rPr>
          <w:rFonts w:ascii="Bookman Old Style" w:hAnsi="Bookman Old Style"/>
          <w:szCs w:val="24"/>
        </w:rPr>
      </w:pP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Pr="00614A46">
        <w:rPr>
          <w:rFonts w:ascii="Bookman Old Style" w:hAnsi="Bookman Old Style"/>
          <w:szCs w:val="24"/>
        </w:rPr>
        <w:tab/>
      </w:r>
      <w:r w:rsidR="00246F0A" w:rsidRPr="00614A46">
        <w:rPr>
          <w:rFonts w:ascii="Bookman Old Style" w:hAnsi="Bookman Old Style"/>
          <w:szCs w:val="24"/>
        </w:rPr>
        <w:t xml:space="preserve">  </w:t>
      </w:r>
      <w:r w:rsidR="007264A1" w:rsidRPr="00614A46">
        <w:rPr>
          <w:rFonts w:ascii="Bookman Old Style" w:hAnsi="Bookman Old Style"/>
          <w:szCs w:val="24"/>
        </w:rPr>
        <w:t xml:space="preserve">    </w:t>
      </w:r>
      <w:r w:rsidR="00ED79E8">
        <w:rPr>
          <w:rFonts w:ascii="Bookman Old Style" w:hAnsi="Bookman Old Style"/>
          <w:szCs w:val="24"/>
        </w:rPr>
        <w:t>Rhonda Buness</w:t>
      </w:r>
      <w:r w:rsidR="00C841ED" w:rsidRPr="00614A46">
        <w:rPr>
          <w:rFonts w:ascii="Bookman Old Style" w:hAnsi="Bookman Old Style"/>
          <w:szCs w:val="24"/>
        </w:rPr>
        <w:t xml:space="preserve">, </w:t>
      </w:r>
      <w:r w:rsidR="0060404B">
        <w:rPr>
          <w:rFonts w:ascii="Bookman Old Style" w:hAnsi="Bookman Old Style"/>
          <w:szCs w:val="24"/>
        </w:rPr>
        <w:t>Appeals</w:t>
      </w:r>
      <w:r w:rsidRPr="00614A46">
        <w:rPr>
          <w:rFonts w:ascii="Bookman Old Style" w:hAnsi="Bookman Old Style"/>
          <w:szCs w:val="24"/>
        </w:rPr>
        <w:t xml:space="preserve"> Officer</w:t>
      </w:r>
    </w:p>
    <w:p w:rsidR="0016206D" w:rsidRPr="00614A46" w:rsidRDefault="0016206D" w:rsidP="00614A46">
      <w:pPr>
        <w:tabs>
          <w:tab w:val="left" w:pos="-1440"/>
          <w:tab w:val="left" w:pos="-720"/>
        </w:tabs>
        <w:suppressAutoHyphens/>
        <w:rPr>
          <w:rFonts w:ascii="Bookman Old Style" w:hAnsi="Bookman Old Style"/>
          <w:szCs w:val="24"/>
        </w:rPr>
      </w:pPr>
    </w:p>
    <w:sectPr w:rsidR="0016206D" w:rsidRPr="00614A46"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E3B" w:rsidRDefault="00193E3B">
      <w:pPr>
        <w:widowControl/>
        <w:spacing w:line="20" w:lineRule="exact"/>
      </w:pPr>
    </w:p>
  </w:endnote>
  <w:endnote w:type="continuationSeparator" w:id="0">
    <w:p w:rsidR="00193E3B" w:rsidRDefault="00193E3B">
      <w:r>
        <w:t xml:space="preserve"> </w:t>
      </w:r>
    </w:p>
  </w:endnote>
  <w:endnote w:type="continuationNotice" w:id="1">
    <w:p w:rsidR="00193E3B" w:rsidRDefault="00193E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E3B" w:rsidRDefault="00193E3B">
      <w:r>
        <w:separator/>
      </w:r>
    </w:p>
  </w:footnote>
  <w:footnote w:type="continuationSeparator" w:id="0">
    <w:p w:rsidR="00193E3B" w:rsidRDefault="00193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780B48">
    <w:pPr>
      <w:pStyle w:val="Header"/>
      <w:rPr>
        <w:rFonts w:ascii="Bookman Old Style" w:hAnsi="Bookman Old Style"/>
      </w:rPr>
    </w:pPr>
    <w:r>
      <w:rPr>
        <w:rFonts w:ascii="Bookman Old Style" w:hAnsi="Bookman Old Style"/>
      </w:rPr>
      <w:t>Docket</w:t>
    </w:r>
    <w:r w:rsidR="00614A46">
      <w:rPr>
        <w:rFonts w:ascii="Bookman Old Style" w:hAnsi="Bookman Old Style"/>
      </w:rPr>
      <w:t xml:space="preserve"># </w:t>
    </w:r>
    <w:r w:rsidR="00EF43F9">
      <w:rPr>
        <w:rFonts w:ascii="Bookman Old Style" w:hAnsi="Bookman Old Style"/>
      </w:rPr>
      <w:t>19 0683</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700F67">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B89"/>
    <w:multiLevelType w:val="singleLevel"/>
    <w:tmpl w:val="9EAEF604"/>
    <w:lvl w:ilvl="0">
      <w:start w:val="1"/>
      <w:numFmt w:val="decimal"/>
      <w:lvlText w:val="(%1)"/>
      <w:lvlJc w:val="left"/>
      <w:pPr>
        <w:tabs>
          <w:tab w:val="num" w:pos="2160"/>
        </w:tabs>
        <w:ind w:left="2160" w:hanging="720"/>
      </w:pPr>
    </w:lvl>
  </w:abstractNum>
  <w:abstractNum w:abstractNumId="1" w15:restartNumberingAfterBreak="0">
    <w:nsid w:val="0DE83026"/>
    <w:multiLevelType w:val="hybridMultilevel"/>
    <w:tmpl w:val="5CB8524A"/>
    <w:lvl w:ilvl="0" w:tplc="ACE69E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3" w15:restartNumberingAfterBreak="0">
    <w:nsid w:val="21C1167F"/>
    <w:multiLevelType w:val="hybridMultilevel"/>
    <w:tmpl w:val="A8FAEBCE"/>
    <w:lvl w:ilvl="0" w:tplc="33582B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E80A55"/>
    <w:multiLevelType w:val="singleLevel"/>
    <w:tmpl w:val="36EC7010"/>
    <w:lvl w:ilvl="0">
      <w:start w:val="5"/>
      <w:numFmt w:val="lowerLetter"/>
      <w:lvlText w:val="(%1)"/>
      <w:lvlJc w:val="left"/>
      <w:pPr>
        <w:tabs>
          <w:tab w:val="num" w:pos="1080"/>
        </w:tabs>
        <w:ind w:left="1080" w:hanging="360"/>
      </w:pPr>
      <w:rPr>
        <w:rFonts w:hint="default"/>
      </w:rPr>
    </w:lvl>
  </w:abstractNum>
  <w:abstractNum w:abstractNumId="5" w15:restartNumberingAfterBreak="0">
    <w:nsid w:val="32D562C7"/>
    <w:multiLevelType w:val="singleLevel"/>
    <w:tmpl w:val="F46A4B2A"/>
    <w:lvl w:ilvl="0">
      <w:start w:val="1"/>
      <w:numFmt w:val="decimal"/>
      <w:lvlText w:val="(%1)"/>
      <w:lvlJc w:val="left"/>
      <w:pPr>
        <w:tabs>
          <w:tab w:val="num" w:pos="2160"/>
        </w:tabs>
        <w:ind w:left="2160" w:hanging="720"/>
      </w:pPr>
      <w:rPr>
        <w:rFonts w:hint="default"/>
      </w:rPr>
    </w:lvl>
  </w:abstractNum>
  <w:abstractNum w:abstractNumId="6" w15:restartNumberingAfterBreak="0">
    <w:nsid w:val="341245E2"/>
    <w:multiLevelType w:val="hybridMultilevel"/>
    <w:tmpl w:val="DC4C13E6"/>
    <w:lvl w:ilvl="0" w:tplc="5358B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03A62"/>
    <w:multiLevelType w:val="singleLevel"/>
    <w:tmpl w:val="DFD4461E"/>
    <w:lvl w:ilvl="0">
      <w:start w:val="1"/>
      <w:numFmt w:val="upperLetter"/>
      <w:lvlText w:val="(%1)"/>
      <w:lvlJc w:val="left"/>
      <w:pPr>
        <w:tabs>
          <w:tab w:val="num" w:pos="2880"/>
        </w:tabs>
        <w:ind w:left="2880" w:hanging="720"/>
      </w:pPr>
      <w:rPr>
        <w:rFonts w:hint="default"/>
      </w:rPr>
    </w:lvl>
  </w:abstractNum>
  <w:abstractNum w:abstractNumId="8" w15:restartNumberingAfterBreak="0">
    <w:nsid w:val="4AA842DD"/>
    <w:multiLevelType w:val="singleLevel"/>
    <w:tmpl w:val="CABC0942"/>
    <w:lvl w:ilvl="0">
      <w:start w:val="3"/>
      <w:numFmt w:val="lowerLetter"/>
      <w:lvlText w:val="(%1)"/>
      <w:lvlJc w:val="left"/>
      <w:pPr>
        <w:tabs>
          <w:tab w:val="num" w:pos="1440"/>
        </w:tabs>
        <w:ind w:left="1440" w:hanging="720"/>
      </w:pPr>
    </w:lvl>
  </w:abstractNum>
  <w:abstractNum w:abstractNumId="9" w15:restartNumberingAfterBreak="0">
    <w:nsid w:val="4D0D20B6"/>
    <w:multiLevelType w:val="singleLevel"/>
    <w:tmpl w:val="F46A4B2A"/>
    <w:lvl w:ilvl="0">
      <w:start w:val="1"/>
      <w:numFmt w:val="decimal"/>
      <w:lvlText w:val="(%1)"/>
      <w:lvlJc w:val="left"/>
      <w:pPr>
        <w:tabs>
          <w:tab w:val="num" w:pos="2160"/>
        </w:tabs>
        <w:ind w:left="2160" w:hanging="720"/>
      </w:pPr>
      <w:rPr>
        <w:rFonts w:hint="default"/>
      </w:rPr>
    </w:lvl>
  </w:abstractNum>
  <w:abstractNum w:abstractNumId="10" w15:restartNumberingAfterBreak="0">
    <w:nsid w:val="52BB1B73"/>
    <w:multiLevelType w:val="hybridMultilevel"/>
    <w:tmpl w:val="37BE0386"/>
    <w:lvl w:ilvl="0" w:tplc="F6F00B7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E3491B"/>
    <w:multiLevelType w:val="singleLevel"/>
    <w:tmpl w:val="CB6C6800"/>
    <w:lvl w:ilvl="0">
      <w:start w:val="2"/>
      <w:numFmt w:val="lowerRoman"/>
      <w:lvlText w:val="(%1)"/>
      <w:lvlJc w:val="left"/>
      <w:pPr>
        <w:tabs>
          <w:tab w:val="num" w:pos="3600"/>
        </w:tabs>
        <w:ind w:left="3600" w:hanging="720"/>
      </w:pPr>
      <w:rPr>
        <w:rFonts w:hint="default"/>
      </w:rPr>
    </w:lvl>
  </w:abstractNum>
  <w:abstractNum w:abstractNumId="12" w15:restartNumberingAfterBreak="0">
    <w:nsid w:val="5BC97998"/>
    <w:multiLevelType w:val="hybridMultilevel"/>
    <w:tmpl w:val="7C34685C"/>
    <w:lvl w:ilvl="0" w:tplc="C6E86B3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lvlOverride w:ilvl="0">
      <w:startOverride w:val="1"/>
    </w:lvlOverride>
  </w:num>
  <w:num w:numId="3">
    <w:abstractNumId w:val="3"/>
  </w:num>
  <w:num w:numId="4">
    <w:abstractNumId w:val="1"/>
  </w:num>
  <w:num w:numId="5">
    <w:abstractNumId w:val="12"/>
  </w:num>
  <w:num w:numId="6">
    <w:abstractNumId w:val="6"/>
  </w:num>
  <w:num w:numId="7">
    <w:abstractNumId w:val="11"/>
  </w:num>
  <w:num w:numId="8">
    <w:abstractNumId w:val="5"/>
  </w:num>
  <w:num w:numId="9">
    <w:abstractNumId w:val="7"/>
  </w:num>
  <w:num w:numId="10">
    <w:abstractNumId w:val="4"/>
  </w:num>
  <w:num w:numId="11">
    <w:abstractNumId w:val="9"/>
  </w:num>
  <w:num w:numId="12">
    <w:abstractNumId w:val="8"/>
    <w:lvlOverride w:ilvl="0">
      <w:startOverride w:val="3"/>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3B"/>
    <w:rsid w:val="00074ABC"/>
    <w:rsid w:val="000B1B0E"/>
    <w:rsid w:val="0015719B"/>
    <w:rsid w:val="0016206D"/>
    <w:rsid w:val="00171CFF"/>
    <w:rsid w:val="001772D5"/>
    <w:rsid w:val="00184E40"/>
    <w:rsid w:val="00193E3B"/>
    <w:rsid w:val="00246F0A"/>
    <w:rsid w:val="002A2C00"/>
    <w:rsid w:val="0037410D"/>
    <w:rsid w:val="00386730"/>
    <w:rsid w:val="003A08AE"/>
    <w:rsid w:val="003B5880"/>
    <w:rsid w:val="004507E3"/>
    <w:rsid w:val="004E4C74"/>
    <w:rsid w:val="005655DE"/>
    <w:rsid w:val="005840C2"/>
    <w:rsid w:val="005A25FF"/>
    <w:rsid w:val="005C58C3"/>
    <w:rsid w:val="005F35F2"/>
    <w:rsid w:val="0060404B"/>
    <w:rsid w:val="00614A46"/>
    <w:rsid w:val="00700F67"/>
    <w:rsid w:val="007264A1"/>
    <w:rsid w:val="00780B48"/>
    <w:rsid w:val="00820E83"/>
    <w:rsid w:val="00892A69"/>
    <w:rsid w:val="00892D44"/>
    <w:rsid w:val="008B0F2C"/>
    <w:rsid w:val="008C6C34"/>
    <w:rsid w:val="00907F80"/>
    <w:rsid w:val="00930ED5"/>
    <w:rsid w:val="009F62FC"/>
    <w:rsid w:val="00A02C85"/>
    <w:rsid w:val="00A0630D"/>
    <w:rsid w:val="00A247DE"/>
    <w:rsid w:val="00A94C46"/>
    <w:rsid w:val="00B00F07"/>
    <w:rsid w:val="00B0198D"/>
    <w:rsid w:val="00B4191D"/>
    <w:rsid w:val="00B47DFF"/>
    <w:rsid w:val="00C22610"/>
    <w:rsid w:val="00C70C6C"/>
    <w:rsid w:val="00C841ED"/>
    <w:rsid w:val="00D1304C"/>
    <w:rsid w:val="00D52E80"/>
    <w:rsid w:val="00D83A7C"/>
    <w:rsid w:val="00DB16E0"/>
    <w:rsid w:val="00E1431E"/>
    <w:rsid w:val="00E20135"/>
    <w:rsid w:val="00ED79E8"/>
    <w:rsid w:val="00EF43F9"/>
    <w:rsid w:val="00F36FB9"/>
    <w:rsid w:val="00F52904"/>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0EF4F"/>
  <w15:chartTrackingRefBased/>
  <w15:docId w15:val="{EC166FB4-7260-46FE-BD87-1E6EA4A4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F35F2"/>
    <w:pPr>
      <w:ind w:left="720"/>
    </w:pPr>
  </w:style>
  <w:style w:type="paragraph" w:customStyle="1" w:styleId="Default">
    <w:name w:val="Default"/>
    <w:rsid w:val="005F35F2"/>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5F35F2"/>
    <w:rPr>
      <w:b/>
      <w:bCs/>
    </w:rPr>
  </w:style>
  <w:style w:type="paragraph" w:styleId="BodyTextIndent2">
    <w:name w:val="Body Text Indent 2"/>
    <w:basedOn w:val="Normal"/>
    <w:link w:val="BodyTextIndent2Char"/>
    <w:rsid w:val="005F35F2"/>
    <w:pPr>
      <w:widowControl/>
      <w:tabs>
        <w:tab w:val="left" w:pos="1440"/>
      </w:tabs>
      <w:suppressAutoHyphens/>
      <w:ind w:left="1440" w:hanging="720"/>
    </w:pPr>
    <w:rPr>
      <w:rFonts w:ascii="Arial" w:hAnsi="Arial"/>
      <w:spacing w:val="-3"/>
    </w:rPr>
  </w:style>
  <w:style w:type="character" w:customStyle="1" w:styleId="BodyTextIndent2Char">
    <w:name w:val="Body Text Indent 2 Char"/>
    <w:link w:val="BodyTextIndent2"/>
    <w:rsid w:val="005F35F2"/>
    <w:rPr>
      <w:rFonts w:ascii="Arial" w:hAnsi="Arial"/>
      <w:snapToGrid w:val="0"/>
      <w:spacing w:val="-3"/>
      <w:sz w:val="24"/>
    </w:rPr>
  </w:style>
  <w:style w:type="paragraph" w:styleId="BodyTextIndent3">
    <w:name w:val="Body Text Indent 3"/>
    <w:basedOn w:val="Normal"/>
    <w:link w:val="BodyTextIndent3Char"/>
    <w:rsid w:val="005F35F2"/>
    <w:pPr>
      <w:widowControl/>
      <w:tabs>
        <w:tab w:val="left" w:pos="2160"/>
      </w:tabs>
      <w:suppressAutoHyphens/>
      <w:ind w:left="2160" w:hanging="720"/>
    </w:pPr>
    <w:rPr>
      <w:rFonts w:ascii="Arial" w:hAnsi="Arial"/>
      <w:spacing w:val="-3"/>
    </w:rPr>
  </w:style>
  <w:style w:type="character" w:customStyle="1" w:styleId="BodyTextIndent3Char">
    <w:name w:val="Body Text Indent 3 Char"/>
    <w:link w:val="BodyTextIndent3"/>
    <w:rsid w:val="005F35F2"/>
    <w:rPr>
      <w:rFonts w:ascii="Arial" w:hAnsi="Arial"/>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69888">
      <w:bodyDiv w:val="1"/>
      <w:marLeft w:val="0"/>
      <w:marRight w:val="0"/>
      <w:marTop w:val="0"/>
      <w:marBottom w:val="0"/>
      <w:divBdr>
        <w:top w:val="none" w:sz="0" w:space="0" w:color="auto"/>
        <w:left w:val="none" w:sz="0" w:space="0" w:color="auto"/>
        <w:bottom w:val="none" w:sz="0" w:space="0" w:color="auto"/>
        <w:right w:val="none" w:sz="0" w:space="0" w:color="auto"/>
      </w:divBdr>
    </w:div>
    <w:div w:id="5673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7%20-%20Felony%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17 - Felony Misconduct</Template>
  <TotalTime>0</TotalTime>
  <Pages>5</Pages>
  <Words>1631</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2019-08-16T19:11:00Z</dcterms:created>
  <dcterms:modified xsi:type="dcterms:W3CDTF">2019-08-16T19:11:00Z</dcterms:modified>
</cp:coreProperties>
</file>