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44" w:rsidRDefault="007E43C3" w:rsidP="00892D4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-104140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Pr="00614A46" w:rsidRDefault="00892D44" w:rsidP="00614A46">
      <w:pPr>
        <w:pStyle w:val="Heading3"/>
        <w:widowControl/>
        <w:tabs>
          <w:tab w:val="center" w:pos="4680"/>
        </w:tabs>
        <w:suppressAutoHyphens/>
        <w:rPr>
          <w:rFonts w:ascii="Bookman Old Style" w:hAnsi="Bookman Old Style"/>
          <w:szCs w:val="24"/>
        </w:rPr>
      </w:pPr>
    </w:p>
    <w:p w:rsidR="00892D44" w:rsidRPr="00614A46" w:rsidRDefault="00892D44" w:rsidP="00614A46">
      <w:pPr>
        <w:widowControl/>
        <w:tabs>
          <w:tab w:val="left" w:pos="-720"/>
        </w:tabs>
        <w:suppressAutoHyphens/>
        <w:rPr>
          <w:rFonts w:ascii="Bookman Old Style" w:hAnsi="Bookman Old Style"/>
          <w:szCs w:val="24"/>
        </w:rPr>
      </w:pPr>
    </w:p>
    <w:p w:rsidR="0016206D" w:rsidRPr="00614A46" w:rsidRDefault="0016206D" w:rsidP="00614A46">
      <w:pPr>
        <w:tabs>
          <w:tab w:val="center" w:pos="4680"/>
        </w:tabs>
        <w:suppressAutoHyphens/>
        <w:jc w:val="center"/>
        <w:rPr>
          <w:rFonts w:ascii="Bookman Old Style" w:hAnsi="Bookman Old Style"/>
          <w:b/>
          <w:szCs w:val="24"/>
        </w:rPr>
      </w:pPr>
      <w:r w:rsidRPr="00614A46">
        <w:rPr>
          <w:rFonts w:ascii="Bookman Old Style" w:hAnsi="Bookman Old Style"/>
          <w:b/>
          <w:szCs w:val="24"/>
        </w:rPr>
        <w:t>APPEAL TRIBUNAL DECISION</w:t>
      </w:r>
    </w:p>
    <w:p w:rsidR="007264A1" w:rsidRPr="00614A46" w:rsidRDefault="007264A1" w:rsidP="00614A46">
      <w:pPr>
        <w:tabs>
          <w:tab w:val="left" w:pos="90"/>
          <w:tab w:val="center" w:pos="4680"/>
        </w:tabs>
        <w:suppressAutoHyphens/>
        <w:jc w:val="center"/>
        <w:outlineLvl w:val="0"/>
        <w:rPr>
          <w:rFonts w:ascii="Bookman Old Style" w:hAnsi="Bookman Old Style"/>
          <w:szCs w:val="24"/>
        </w:rPr>
      </w:pPr>
    </w:p>
    <w:p w:rsidR="0016206D" w:rsidRPr="00614A46" w:rsidRDefault="0016206D" w:rsidP="00614A46">
      <w:pPr>
        <w:tabs>
          <w:tab w:val="left" w:pos="0"/>
          <w:tab w:val="left" w:pos="90"/>
          <w:tab w:val="center" w:pos="4680"/>
        </w:tabs>
        <w:suppressAutoHyphens/>
        <w:jc w:val="center"/>
        <w:outlineLvl w:val="0"/>
        <w:rPr>
          <w:rFonts w:ascii="Bookman Old Style" w:hAnsi="Bookman Old Style"/>
          <w:szCs w:val="24"/>
        </w:rPr>
      </w:pPr>
      <w:r w:rsidRPr="00614A46">
        <w:rPr>
          <w:rFonts w:ascii="Bookman Old Style" w:hAnsi="Bookman Old Style"/>
          <w:b/>
          <w:szCs w:val="24"/>
        </w:rPr>
        <w:t xml:space="preserve">Docket </w:t>
      </w:r>
      <w:r w:rsidR="00386730" w:rsidRPr="00614A46">
        <w:rPr>
          <w:rFonts w:ascii="Bookman Old Style" w:hAnsi="Bookman Old Style"/>
          <w:b/>
          <w:szCs w:val="24"/>
        </w:rPr>
        <w:t>number:</w:t>
      </w:r>
      <w:r w:rsidRPr="00614A46">
        <w:rPr>
          <w:rFonts w:ascii="Bookman Old Style" w:hAnsi="Bookman Old Style"/>
          <w:szCs w:val="24"/>
        </w:rPr>
        <w:t xml:space="preserve">  </w:t>
      </w:r>
      <w:r w:rsidR="00F6215B">
        <w:rPr>
          <w:rFonts w:ascii="Bookman Old Style" w:hAnsi="Bookman Old Style"/>
          <w:szCs w:val="24"/>
        </w:rPr>
        <w:t>20 0042</w:t>
      </w:r>
      <w:r w:rsidRPr="00614A46">
        <w:rPr>
          <w:rFonts w:ascii="Bookman Old Style" w:hAnsi="Bookman Old Style"/>
          <w:szCs w:val="24"/>
        </w:rPr>
        <w:t xml:space="preserve">    </w:t>
      </w:r>
      <w:r w:rsidR="00386730" w:rsidRPr="00614A46">
        <w:rPr>
          <w:rFonts w:ascii="Bookman Old Style" w:hAnsi="Bookman Old Style"/>
          <w:b/>
          <w:szCs w:val="24"/>
        </w:rPr>
        <w:t>Hearing d</w:t>
      </w:r>
      <w:r w:rsidRPr="00614A46">
        <w:rPr>
          <w:rFonts w:ascii="Bookman Old Style" w:hAnsi="Bookman Old Style"/>
          <w:b/>
          <w:szCs w:val="24"/>
        </w:rPr>
        <w:t>ate:</w:t>
      </w:r>
      <w:r w:rsidRPr="00614A46">
        <w:rPr>
          <w:rFonts w:ascii="Bookman Old Style" w:hAnsi="Bookman Old Style"/>
          <w:szCs w:val="24"/>
        </w:rPr>
        <w:t xml:space="preserve">  </w:t>
      </w:r>
      <w:r w:rsidR="00A924DA">
        <w:rPr>
          <w:rFonts w:ascii="Bookman Old Style" w:hAnsi="Bookman Old Style"/>
          <w:szCs w:val="24"/>
        </w:rPr>
        <w:t>February 4</w:t>
      </w:r>
      <w:r w:rsidR="00F6215B">
        <w:rPr>
          <w:rFonts w:ascii="Bookman Old Style" w:hAnsi="Bookman Old Style"/>
          <w:szCs w:val="24"/>
        </w:rPr>
        <w:t>, 2020</w:t>
      </w:r>
    </w:p>
    <w:p w:rsidR="0016206D" w:rsidRPr="00614A46" w:rsidRDefault="0016206D" w:rsidP="00614A46">
      <w:pPr>
        <w:tabs>
          <w:tab w:val="left" w:pos="-720"/>
        </w:tabs>
        <w:suppressAutoHyphens/>
        <w:rPr>
          <w:rFonts w:ascii="Bookman Old Style" w:hAnsi="Bookman Old Style"/>
          <w:szCs w:val="24"/>
        </w:rPr>
      </w:pPr>
    </w:p>
    <w:p w:rsidR="0016206D" w:rsidRPr="00614A46" w:rsidRDefault="0016206D" w:rsidP="00614A46">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614A46">
        <w:rPr>
          <w:rFonts w:ascii="Bookman Old Style" w:hAnsi="Bookman Old Style"/>
          <w:b/>
          <w:szCs w:val="24"/>
        </w:rPr>
        <w:t>CLAIMANT:</w:t>
      </w:r>
      <w:r w:rsidRPr="00614A46">
        <w:rPr>
          <w:rFonts w:ascii="Bookman Old Style" w:hAnsi="Bookman Old Style"/>
          <w:b/>
          <w:szCs w:val="24"/>
        </w:rPr>
        <w:tab/>
        <w:t>EMPLOYER:</w:t>
      </w:r>
    </w:p>
    <w:p w:rsidR="0016206D" w:rsidRPr="00614A46" w:rsidRDefault="0016206D" w:rsidP="00614A46">
      <w:pPr>
        <w:tabs>
          <w:tab w:val="left" w:pos="-1440"/>
          <w:tab w:val="left" w:pos="-720"/>
          <w:tab w:val="left" w:pos="0"/>
          <w:tab w:val="left" w:pos="5760"/>
        </w:tabs>
        <w:suppressAutoHyphens/>
        <w:ind w:right="-360"/>
        <w:rPr>
          <w:rFonts w:ascii="Bookman Old Style" w:hAnsi="Bookman Old Style"/>
          <w:szCs w:val="24"/>
        </w:rPr>
      </w:pPr>
    </w:p>
    <w:p w:rsidR="00F6215B" w:rsidRPr="00F6215B" w:rsidRDefault="00F6215B" w:rsidP="00F6215B">
      <w:pPr>
        <w:tabs>
          <w:tab w:val="left" w:pos="-1440"/>
          <w:tab w:val="left" w:pos="-720"/>
          <w:tab w:val="left" w:pos="0"/>
          <w:tab w:val="left" w:pos="5040"/>
          <w:tab w:val="left" w:pos="5760"/>
        </w:tabs>
        <w:suppressAutoHyphens/>
        <w:ind w:right="-360"/>
        <w:rPr>
          <w:rFonts w:ascii="Bookman Old Style" w:hAnsi="Bookman Old Style"/>
          <w:szCs w:val="24"/>
        </w:rPr>
      </w:pPr>
      <w:r w:rsidRPr="00F6215B">
        <w:rPr>
          <w:rFonts w:ascii="Bookman Old Style" w:hAnsi="Bookman Old Style"/>
          <w:szCs w:val="24"/>
        </w:rPr>
        <w:t>CAROLYN ENDFIELD</w:t>
      </w:r>
      <w:r>
        <w:rPr>
          <w:rFonts w:ascii="Bookman Old Style" w:hAnsi="Bookman Old Style"/>
          <w:szCs w:val="24"/>
        </w:rPr>
        <w:tab/>
      </w:r>
      <w:r w:rsidRPr="00F6215B">
        <w:rPr>
          <w:rFonts w:ascii="Bookman Old Style" w:hAnsi="Bookman Old Style"/>
          <w:szCs w:val="24"/>
        </w:rPr>
        <w:t>BREAD &amp; BREW LLC</w:t>
      </w:r>
    </w:p>
    <w:p w:rsidR="0016206D" w:rsidRDefault="0016206D" w:rsidP="00614A46">
      <w:pPr>
        <w:tabs>
          <w:tab w:val="left" w:pos="-1440"/>
          <w:tab w:val="left" w:pos="-720"/>
          <w:tab w:val="left" w:pos="0"/>
          <w:tab w:val="left" w:pos="5760"/>
        </w:tabs>
        <w:suppressAutoHyphens/>
        <w:ind w:right="-360"/>
        <w:rPr>
          <w:rFonts w:ascii="Bookman Old Style" w:hAnsi="Bookman Old Style"/>
          <w:szCs w:val="24"/>
        </w:rPr>
      </w:pPr>
    </w:p>
    <w:p w:rsidR="00740764" w:rsidRDefault="00740764" w:rsidP="00614A46">
      <w:pPr>
        <w:tabs>
          <w:tab w:val="left" w:pos="-1440"/>
          <w:tab w:val="left" w:pos="-720"/>
          <w:tab w:val="left" w:pos="0"/>
          <w:tab w:val="left" w:pos="5760"/>
        </w:tabs>
        <w:suppressAutoHyphens/>
        <w:ind w:right="-360"/>
        <w:rPr>
          <w:rFonts w:ascii="Bookman Old Style" w:hAnsi="Bookman Old Style"/>
          <w:szCs w:val="24"/>
        </w:rPr>
      </w:pPr>
    </w:p>
    <w:p w:rsidR="00740764" w:rsidRPr="00614A46" w:rsidRDefault="00740764" w:rsidP="00614A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614A46" w:rsidRDefault="0016206D" w:rsidP="00614A46">
      <w:pPr>
        <w:tabs>
          <w:tab w:val="left" w:pos="-1440"/>
          <w:tab w:val="left" w:pos="-720"/>
          <w:tab w:val="left" w:pos="0"/>
          <w:tab w:val="left" w:pos="5040"/>
          <w:tab w:val="left" w:pos="5760"/>
        </w:tabs>
        <w:suppressAutoHyphens/>
        <w:ind w:right="-360"/>
        <w:rPr>
          <w:rFonts w:ascii="Bookman Old Style" w:hAnsi="Bookman Old Style"/>
          <w:szCs w:val="24"/>
        </w:rPr>
      </w:pPr>
      <w:r w:rsidRPr="00614A46">
        <w:rPr>
          <w:rFonts w:ascii="Bookman Old Style" w:hAnsi="Bookman Old Style"/>
          <w:b/>
          <w:szCs w:val="24"/>
        </w:rPr>
        <w:t>CLAIMANT APPEARANCES:</w:t>
      </w:r>
      <w:r w:rsidRPr="00614A46">
        <w:rPr>
          <w:rFonts w:ascii="Bookman Old Style" w:hAnsi="Bookman Old Style"/>
          <w:b/>
          <w:szCs w:val="24"/>
        </w:rPr>
        <w:tab/>
        <w:t>EMPLOYER APPEARANCES:</w:t>
      </w:r>
    </w:p>
    <w:p w:rsidR="0016206D" w:rsidRPr="00614A46" w:rsidRDefault="0016206D" w:rsidP="00614A46">
      <w:pPr>
        <w:tabs>
          <w:tab w:val="left" w:pos="-1440"/>
          <w:tab w:val="left" w:pos="-720"/>
          <w:tab w:val="left" w:pos="0"/>
          <w:tab w:val="left" w:pos="5760"/>
        </w:tabs>
        <w:suppressAutoHyphens/>
        <w:ind w:right="-360"/>
        <w:rPr>
          <w:rFonts w:ascii="Bookman Old Style" w:hAnsi="Bookman Old Style"/>
          <w:szCs w:val="24"/>
        </w:rPr>
      </w:pPr>
    </w:p>
    <w:p w:rsidR="0016206D" w:rsidRPr="00614A46" w:rsidRDefault="00F6215B" w:rsidP="00614A46">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Carolyn </w:t>
      </w:r>
      <w:proofErr w:type="spellStart"/>
      <w:r>
        <w:rPr>
          <w:rFonts w:ascii="Bookman Old Style" w:hAnsi="Bookman Old Style"/>
          <w:szCs w:val="24"/>
        </w:rPr>
        <w:t>Endfield</w:t>
      </w:r>
      <w:proofErr w:type="spellEnd"/>
      <w:r w:rsidR="00C841ED" w:rsidRPr="00614A46">
        <w:rPr>
          <w:rFonts w:ascii="Bookman Old Style" w:hAnsi="Bookman Old Style"/>
          <w:szCs w:val="24"/>
        </w:rPr>
        <w:tab/>
      </w:r>
      <w:r>
        <w:rPr>
          <w:rFonts w:ascii="Bookman Old Style" w:hAnsi="Bookman Old Style"/>
          <w:szCs w:val="24"/>
        </w:rPr>
        <w:t>Craig McCarty</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pStyle w:val="Heading2"/>
        <w:rPr>
          <w:rFonts w:ascii="Bookman Old Style" w:hAnsi="Bookman Old Style"/>
          <w:szCs w:val="24"/>
        </w:rPr>
      </w:pPr>
      <w:r w:rsidRPr="00614A46">
        <w:rPr>
          <w:rFonts w:ascii="Bookman Old Style" w:hAnsi="Bookman Old Style"/>
          <w:szCs w:val="24"/>
        </w:rPr>
        <w:t>CASE HISTORY</w:t>
      </w:r>
    </w:p>
    <w:p w:rsidR="0016206D" w:rsidRPr="00614A46" w:rsidRDefault="0016206D" w:rsidP="00614A46">
      <w:pPr>
        <w:tabs>
          <w:tab w:val="center" w:pos="4860"/>
        </w:tabs>
        <w:suppressAutoHyphens/>
        <w:ind w:right="-360"/>
        <w:rPr>
          <w:rFonts w:ascii="Bookman Old Style" w:hAnsi="Bookman Old Style"/>
          <w:szCs w:val="24"/>
        </w:rPr>
      </w:pPr>
    </w:p>
    <w:p w:rsidR="00930ED5" w:rsidRPr="00614A46" w:rsidRDefault="00930ED5" w:rsidP="00614A46">
      <w:pPr>
        <w:widowControl/>
        <w:spacing w:after="200"/>
        <w:rPr>
          <w:rFonts w:ascii="Bookman Old Style" w:hAnsi="Bookman Old Style"/>
          <w:snapToGrid/>
          <w:szCs w:val="24"/>
        </w:rPr>
      </w:pPr>
      <w:r w:rsidRPr="00614A46">
        <w:rPr>
          <w:rFonts w:ascii="Bookman Old Style" w:hAnsi="Bookman Old Style"/>
          <w:snapToGrid/>
          <w:szCs w:val="24"/>
        </w:rPr>
        <w:t xml:space="preserve">The </w:t>
      </w:r>
      <w:r w:rsidR="00F6215B">
        <w:rPr>
          <w:rFonts w:ascii="Bookman Old Style" w:hAnsi="Bookman Old Style"/>
          <w:szCs w:val="24"/>
        </w:rPr>
        <w:t>claimant</w:t>
      </w:r>
      <w:r w:rsidR="00892A69">
        <w:rPr>
          <w:rFonts w:ascii="Bookman Old Style" w:hAnsi="Bookman Old Style"/>
          <w:szCs w:val="24"/>
        </w:rPr>
        <w:t xml:space="preserve"> </w:t>
      </w:r>
      <w:r w:rsidRPr="00614A46">
        <w:rPr>
          <w:rFonts w:ascii="Bookman Old Style" w:hAnsi="Bookman Old Style"/>
          <w:snapToGrid/>
          <w:szCs w:val="24"/>
        </w:rPr>
        <w:t xml:space="preserve">timely appealed a </w:t>
      </w:r>
      <w:r w:rsidR="00F6215B">
        <w:rPr>
          <w:rFonts w:ascii="Bookman Old Style" w:hAnsi="Bookman Old Style"/>
          <w:snapToGrid/>
          <w:szCs w:val="24"/>
        </w:rPr>
        <w:t>January 8, 2020</w:t>
      </w:r>
      <w:r w:rsidRPr="00614A46">
        <w:rPr>
          <w:rFonts w:ascii="Bookman Old Style" w:hAnsi="Bookman Old Style"/>
          <w:snapToGrid/>
          <w:szCs w:val="24"/>
        </w:rPr>
        <w:t xml:space="preserve"> </w:t>
      </w:r>
      <w:r w:rsidR="00F6215B">
        <w:rPr>
          <w:rFonts w:ascii="Bookman Old Style" w:hAnsi="Bookman Old Style"/>
          <w:snapToGrid/>
          <w:szCs w:val="24"/>
        </w:rPr>
        <w:t>re</w:t>
      </w:r>
      <w:r w:rsidRPr="00614A46">
        <w:rPr>
          <w:rFonts w:ascii="Bookman Old Style" w:hAnsi="Bookman Old Style"/>
          <w:snapToGrid/>
          <w:szCs w:val="24"/>
        </w:rPr>
        <w:t>determination which denied benefits under Alaska Statute 23.20.379. The issue before the Appeal Tribunal is whether the claimant was discharged for</w:t>
      </w:r>
      <w:r w:rsidR="00F6215B">
        <w:rPr>
          <w:rFonts w:ascii="Bookman Old Style" w:hAnsi="Bookman Old Style"/>
          <w:snapToGrid/>
          <w:szCs w:val="24"/>
        </w:rPr>
        <w:t xml:space="preserve"> felony</w:t>
      </w:r>
      <w:r w:rsidRPr="00614A46">
        <w:rPr>
          <w:rFonts w:ascii="Bookman Old Style" w:hAnsi="Bookman Old Style"/>
          <w:snapToGrid/>
          <w:szCs w:val="24"/>
        </w:rPr>
        <w:t xml:space="preserve"> misconduct connected with the work.</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FINDINGS OF FACT</w:t>
      </w:r>
    </w:p>
    <w:p w:rsidR="0016206D" w:rsidRPr="00614A46" w:rsidRDefault="0016206D" w:rsidP="00614A46">
      <w:pPr>
        <w:tabs>
          <w:tab w:val="left" w:pos="-1440"/>
          <w:tab w:val="left" w:pos="-720"/>
        </w:tabs>
        <w:suppressAutoHyphens/>
        <w:ind w:right="-360"/>
        <w:rPr>
          <w:rFonts w:ascii="Bookman Old Style" w:hAnsi="Bookman Old Style"/>
          <w:szCs w:val="24"/>
        </w:rPr>
      </w:pPr>
    </w:p>
    <w:p w:rsidR="00930ED5" w:rsidRDefault="00930ED5" w:rsidP="00614A46">
      <w:pPr>
        <w:widowControl/>
        <w:tabs>
          <w:tab w:val="left" w:pos="-1440"/>
          <w:tab w:val="left" w:pos="-720"/>
        </w:tabs>
        <w:suppressAutoHyphens/>
        <w:spacing w:after="200"/>
        <w:ind w:right="-360"/>
        <w:rPr>
          <w:rFonts w:ascii="Bookman Old Style" w:hAnsi="Bookman Old Style"/>
          <w:snapToGrid/>
          <w:szCs w:val="24"/>
        </w:rPr>
      </w:pPr>
      <w:r w:rsidRPr="00614A46">
        <w:rPr>
          <w:rFonts w:ascii="Bookman Old Style" w:hAnsi="Bookman Old Style"/>
          <w:snapToGrid/>
          <w:szCs w:val="24"/>
        </w:rPr>
        <w:t xml:space="preserve">The claimant began work for the employer on </w:t>
      </w:r>
      <w:r w:rsidR="00F6215B">
        <w:rPr>
          <w:rFonts w:ascii="Bookman Old Style" w:hAnsi="Bookman Old Style"/>
          <w:snapToGrid/>
          <w:szCs w:val="24"/>
        </w:rPr>
        <w:t>October 25, 2019</w:t>
      </w:r>
      <w:r w:rsidRPr="00614A46">
        <w:rPr>
          <w:rFonts w:ascii="Bookman Old Style" w:hAnsi="Bookman Old Style"/>
          <w:snapToGrid/>
          <w:szCs w:val="24"/>
        </w:rPr>
        <w:t xml:space="preserve">. </w:t>
      </w:r>
      <w:r w:rsidR="00F6215B">
        <w:rPr>
          <w:rFonts w:ascii="Bookman Old Style" w:hAnsi="Bookman Old Style"/>
          <w:snapToGrid/>
          <w:szCs w:val="24"/>
        </w:rPr>
        <w:t>She</w:t>
      </w:r>
      <w:r w:rsidRPr="00614A46">
        <w:rPr>
          <w:rFonts w:ascii="Bookman Old Style" w:hAnsi="Bookman Old Style"/>
          <w:snapToGrid/>
          <w:szCs w:val="24"/>
        </w:rPr>
        <w:t xml:space="preserve"> last worked on </w:t>
      </w:r>
      <w:r w:rsidR="00F6215B">
        <w:rPr>
          <w:rFonts w:ascii="Bookman Old Style" w:hAnsi="Bookman Old Style"/>
          <w:snapToGrid/>
          <w:szCs w:val="24"/>
        </w:rPr>
        <w:t>November 29, 2019</w:t>
      </w:r>
      <w:r w:rsidRPr="00614A46">
        <w:rPr>
          <w:rFonts w:ascii="Bookman Old Style" w:hAnsi="Bookman Old Style"/>
          <w:snapToGrid/>
          <w:szCs w:val="24"/>
        </w:rPr>
        <w:t xml:space="preserve">. At that time, </w:t>
      </w:r>
      <w:r w:rsidR="00F6215B">
        <w:rPr>
          <w:rFonts w:ascii="Bookman Old Style" w:hAnsi="Bookman Old Style"/>
          <w:snapToGrid/>
          <w:szCs w:val="24"/>
        </w:rPr>
        <w:t>she</w:t>
      </w:r>
      <w:r w:rsidRPr="00614A46">
        <w:rPr>
          <w:rFonts w:ascii="Bookman Old Style" w:hAnsi="Bookman Old Style"/>
          <w:snapToGrid/>
          <w:szCs w:val="24"/>
        </w:rPr>
        <w:t xml:space="preserve"> worked </w:t>
      </w:r>
      <w:r w:rsidR="00F6215B">
        <w:rPr>
          <w:rFonts w:ascii="Bookman Old Style" w:hAnsi="Bookman Old Style"/>
          <w:snapToGrid/>
          <w:szCs w:val="24"/>
        </w:rPr>
        <w:t>full time</w:t>
      </w:r>
      <w:r w:rsidRPr="00614A46">
        <w:rPr>
          <w:rFonts w:ascii="Bookman Old Style" w:hAnsi="Bookman Old Style"/>
          <w:snapToGrid/>
          <w:szCs w:val="24"/>
        </w:rPr>
        <w:t xml:space="preserve"> as a </w:t>
      </w:r>
      <w:r w:rsidR="00F6215B">
        <w:rPr>
          <w:rFonts w:ascii="Bookman Old Style" w:hAnsi="Bookman Old Style"/>
          <w:snapToGrid/>
          <w:szCs w:val="24"/>
        </w:rPr>
        <w:t>personal assistant and shopper</w:t>
      </w:r>
      <w:r w:rsidRPr="00614A46">
        <w:rPr>
          <w:rFonts w:ascii="Bookman Old Style" w:hAnsi="Bookman Old Style"/>
          <w:snapToGrid/>
          <w:szCs w:val="24"/>
        </w:rPr>
        <w:t>.</w:t>
      </w:r>
      <w:r w:rsidR="00F6215B">
        <w:rPr>
          <w:rFonts w:ascii="Bookman Old Style" w:hAnsi="Bookman Old Style"/>
          <w:snapToGrid/>
          <w:szCs w:val="24"/>
        </w:rPr>
        <w:t xml:space="preserve"> </w:t>
      </w:r>
    </w:p>
    <w:p w:rsidR="00F6215B" w:rsidRDefault="00F6215B"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responsible for inventory and shopping for the employer’s restaurant. The claimant was given a credit card to use for purchasing items for the restaurant.  The card was in the name of an owner of the business. The card was kept in a basket at the restaurant. The claimant asked the general manager if she could keep the card with her instead of leaving it at the restaurant.  She was given permission to hold on to the card. </w:t>
      </w:r>
    </w:p>
    <w:p w:rsidR="00F6215B" w:rsidRDefault="00F6215B"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Early in her employment, the claimant mistakenly used the employer’s credit card instead of her own card to pay for a taxi to work. She immediately went to the general manager and admitted her error and repaid the taxi fare amount.  The general manager told her this was okay, as the employer would not have to pay any interest or fees </w:t>
      </w:r>
      <w:r w:rsidR="003043FB">
        <w:rPr>
          <w:rFonts w:ascii="Bookman Old Style" w:hAnsi="Bookman Old Style"/>
          <w:snapToGrid/>
          <w:szCs w:val="24"/>
        </w:rPr>
        <w:t>because the</w:t>
      </w:r>
      <w:r>
        <w:rPr>
          <w:rFonts w:ascii="Bookman Old Style" w:hAnsi="Bookman Old Style"/>
          <w:snapToGrid/>
          <w:szCs w:val="24"/>
        </w:rPr>
        <w:t xml:space="preserve"> amount was paid by the end of the month.</w:t>
      </w:r>
    </w:p>
    <w:p w:rsidR="009E28F4" w:rsidRDefault="00B97808"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The claimant called in sick on Monday, December 2, 2019. The employer noted the claimant had the employer’s credit card with her, and decided to check the statement of the credit card. The employer disc</w:t>
      </w:r>
      <w:r w:rsidR="003043FB">
        <w:rPr>
          <w:rFonts w:ascii="Bookman Old Style" w:hAnsi="Bookman Old Style"/>
          <w:snapToGrid/>
          <w:szCs w:val="24"/>
        </w:rPr>
        <w:t>overed a large amount of charges on the card</w:t>
      </w:r>
      <w:r>
        <w:rPr>
          <w:rFonts w:ascii="Bookman Old Style" w:hAnsi="Bookman Old Style"/>
          <w:snapToGrid/>
          <w:szCs w:val="24"/>
        </w:rPr>
        <w:t xml:space="preserve"> that they did not believe were purchases for the employer’s business. The employer immediately cancelled the credit card and set about obtaining receipts for the purchases.  The employer totaled the purchases that they believed the claimant did not have authorization to make at $9,618.05. </w:t>
      </w:r>
    </w:p>
    <w:p w:rsidR="003043FB" w:rsidRDefault="00B97808"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agree that she had made purchases in the amount calculated by the employer that were not for the employer’s use. The claimant recalled that she had been out shopping for the employer on November 6, 2019 and her phone was shut off due to non-payment. The claimant used the employer’s credit card to pay her </w:t>
      </w:r>
      <w:r w:rsidR="009E28F4">
        <w:rPr>
          <w:rFonts w:ascii="Bookman Old Style" w:hAnsi="Bookman Old Style"/>
          <w:snapToGrid/>
          <w:szCs w:val="24"/>
        </w:rPr>
        <w:t xml:space="preserve">$267.00 </w:t>
      </w:r>
      <w:r>
        <w:rPr>
          <w:rFonts w:ascii="Bookman Old Style" w:hAnsi="Bookman Old Style"/>
          <w:snapToGrid/>
          <w:szCs w:val="24"/>
        </w:rPr>
        <w:t>bill so that the employer could reach her by phone while she was out shopping. The claimant also used the employer’s credit card to pay for taxis to work several times, so that s</w:t>
      </w:r>
      <w:r w:rsidR="003043FB">
        <w:rPr>
          <w:rFonts w:ascii="Bookman Old Style" w:hAnsi="Bookman Old Style"/>
          <w:snapToGrid/>
          <w:szCs w:val="24"/>
        </w:rPr>
        <w:t>he would not be late for work.</w:t>
      </w:r>
      <w:r w:rsidR="009E28F4">
        <w:rPr>
          <w:rFonts w:ascii="Bookman Old Style" w:hAnsi="Bookman Old Style"/>
          <w:snapToGrid/>
          <w:szCs w:val="24"/>
        </w:rPr>
        <w:t xml:space="preserve"> </w:t>
      </w:r>
      <w:r>
        <w:rPr>
          <w:rFonts w:ascii="Bookman Old Style" w:hAnsi="Bookman Old Style"/>
          <w:snapToGrid/>
          <w:szCs w:val="24"/>
        </w:rPr>
        <w:t xml:space="preserve">The employer had counseled the claimant about being late for work. </w:t>
      </w:r>
      <w:r w:rsidR="009E28F4">
        <w:rPr>
          <w:rFonts w:ascii="Bookman Old Style" w:hAnsi="Bookman Old Style"/>
          <w:snapToGrid/>
          <w:szCs w:val="24"/>
        </w:rPr>
        <w:t>Taxi use totaled $201.85.</w:t>
      </w:r>
      <w:r>
        <w:rPr>
          <w:rFonts w:ascii="Bookman Old Style" w:hAnsi="Bookman Old Style"/>
          <w:snapToGrid/>
          <w:szCs w:val="24"/>
        </w:rPr>
        <w:t xml:space="preserve"> </w:t>
      </w:r>
    </w:p>
    <w:p w:rsidR="009E28F4" w:rsidRDefault="00B97808"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9E28F4">
        <w:rPr>
          <w:rFonts w:ascii="Bookman Old Style" w:hAnsi="Bookman Old Style"/>
          <w:snapToGrid/>
          <w:szCs w:val="24"/>
        </w:rPr>
        <w:t xml:space="preserve">recalled that she </w:t>
      </w:r>
      <w:r>
        <w:rPr>
          <w:rFonts w:ascii="Bookman Old Style" w:hAnsi="Bookman Old Style"/>
          <w:snapToGrid/>
          <w:szCs w:val="24"/>
        </w:rPr>
        <w:t xml:space="preserve">used the employer’s credit card to purchase </w:t>
      </w:r>
      <w:r w:rsidR="007E43C3">
        <w:rPr>
          <w:rFonts w:ascii="Bookman Old Style" w:hAnsi="Bookman Old Style"/>
          <w:snapToGrid/>
          <w:szCs w:val="24"/>
        </w:rPr>
        <w:t>clothes for her child</w:t>
      </w:r>
      <w:r>
        <w:rPr>
          <w:rFonts w:ascii="Bookman Old Style" w:hAnsi="Bookman Old Style"/>
          <w:snapToGrid/>
          <w:szCs w:val="24"/>
        </w:rPr>
        <w:t xml:space="preserve">. </w:t>
      </w:r>
      <w:r w:rsidR="009E28F4">
        <w:rPr>
          <w:rFonts w:ascii="Bookman Old Style" w:hAnsi="Bookman Old Style"/>
          <w:snapToGrid/>
          <w:szCs w:val="24"/>
        </w:rPr>
        <w:t xml:space="preserve">Purchases at Footlocker totaled $190.00. One Footlocker receipt obtained by the employer showed the claimant’s name and store loyalty program information and the employer’s credit card used to purchase clothing items. The claimant denied that she made purchases at some retail establishments that would not </w:t>
      </w:r>
      <w:r w:rsidR="00A924DA">
        <w:rPr>
          <w:rFonts w:ascii="Bookman Old Style" w:hAnsi="Bookman Old Style"/>
          <w:snapToGrid/>
          <w:szCs w:val="24"/>
        </w:rPr>
        <w:t xml:space="preserve">be </w:t>
      </w:r>
      <w:r w:rsidR="009E28F4">
        <w:rPr>
          <w:rFonts w:ascii="Bookman Old Style" w:hAnsi="Bookman Old Style"/>
          <w:snapToGrid/>
          <w:szCs w:val="24"/>
        </w:rPr>
        <w:t xml:space="preserve">likely to sell restaurant supplies, and held that other purchases made were for the employer’s use. </w:t>
      </w:r>
      <w:r w:rsidR="00561E52">
        <w:rPr>
          <w:rFonts w:ascii="Bookman Old Style" w:hAnsi="Bookman Old Style"/>
          <w:snapToGrid/>
          <w:szCs w:val="24"/>
        </w:rPr>
        <w:t xml:space="preserve">The credit card was used to make purchases on days the claimant was not at work. </w:t>
      </w:r>
    </w:p>
    <w:p w:rsidR="00561E52" w:rsidRDefault="00561E52" w:rsidP="00561E52">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sent a text to the employer on December 3, 2019 stating that she knew the employer was aware of her personal purchases. She stated that she had all the receipts, had items she could return, and would be able to pay the employer back for </w:t>
      </w:r>
      <w:r w:rsidR="003043FB">
        <w:rPr>
          <w:rFonts w:ascii="Bookman Old Style" w:hAnsi="Bookman Old Style"/>
          <w:snapToGrid/>
          <w:szCs w:val="24"/>
        </w:rPr>
        <w:t>the personal purchases</w:t>
      </w:r>
      <w:r>
        <w:rPr>
          <w:rFonts w:ascii="Bookman Old Style" w:hAnsi="Bookman Old Style"/>
          <w:snapToGrid/>
          <w:szCs w:val="24"/>
        </w:rPr>
        <w:t>.</w:t>
      </w:r>
    </w:p>
    <w:p w:rsidR="00561E52" w:rsidRDefault="00561E52"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reported the matter to the police.  The claimant believed </w:t>
      </w:r>
      <w:r w:rsidR="002628E5">
        <w:rPr>
          <w:rFonts w:ascii="Bookman Old Style" w:hAnsi="Bookman Old Style"/>
          <w:snapToGrid/>
          <w:szCs w:val="24"/>
        </w:rPr>
        <w:t>her supervisor</w:t>
      </w:r>
      <w:r>
        <w:rPr>
          <w:rFonts w:ascii="Bookman Old Style" w:hAnsi="Bookman Old Style"/>
          <w:snapToGrid/>
          <w:szCs w:val="24"/>
        </w:rPr>
        <w:t xml:space="preserve"> was coming to her house to get a doctor’s note for her illness and to retrieve the employer’s credit card.  Instead, police arrived and arrested the claimant on suspicion of theft. The claimant was scheduled for a court appearance on February 6, 2020.</w:t>
      </w:r>
    </w:p>
    <w:p w:rsidR="0016206D" w:rsidRDefault="007E43C3" w:rsidP="007E43C3">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believed she had permission to use the employer’s credit card for personal purchases, because the general manager was not upset when the claimant mistakenly used the credit card for a taxi the first time.  The claimant believed as long as she repaid the employer by the end of the month so no interest was accrued, she had permission to use the card for personal purchases.</w:t>
      </w:r>
    </w:p>
    <w:p w:rsidR="007E43C3" w:rsidRPr="007E43C3" w:rsidRDefault="007E43C3" w:rsidP="007E43C3">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decided to discharge the claimant on December 3, </w:t>
      </w:r>
      <w:r w:rsidR="00A924DA">
        <w:rPr>
          <w:rFonts w:ascii="Bookman Old Style" w:hAnsi="Bookman Old Style"/>
          <w:snapToGrid/>
          <w:szCs w:val="24"/>
        </w:rPr>
        <w:t>2019</w:t>
      </w:r>
      <w:r>
        <w:rPr>
          <w:rFonts w:ascii="Bookman Old Style" w:hAnsi="Bookman Old Style"/>
          <w:snapToGrid/>
          <w:szCs w:val="24"/>
        </w:rPr>
        <w:t xml:space="preserve">. This was not conveyed to the claimant, but she assumed she was discharged when she was arrested. </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pStyle w:val="Heading2"/>
        <w:rPr>
          <w:rFonts w:ascii="Bookman Old Style" w:hAnsi="Bookman Old Style"/>
          <w:szCs w:val="24"/>
        </w:rPr>
      </w:pPr>
      <w:r w:rsidRPr="00614A46">
        <w:rPr>
          <w:rFonts w:ascii="Bookman Old Style" w:hAnsi="Bookman Old Style"/>
          <w:szCs w:val="24"/>
        </w:rPr>
        <w:t>PROVISIONS OF LAW</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b/>
          <w:szCs w:val="24"/>
        </w:rPr>
      </w:pPr>
      <w:r w:rsidRPr="00614A46">
        <w:rPr>
          <w:rFonts w:ascii="Bookman Old Style" w:hAnsi="Bookman Old Style"/>
          <w:b/>
          <w:szCs w:val="24"/>
        </w:rPr>
        <w:t>AS 23.20.379 provides in part:</w:t>
      </w:r>
    </w:p>
    <w:p w:rsidR="0016206D" w:rsidRPr="00614A46" w:rsidRDefault="00C841ED" w:rsidP="00614A46">
      <w:pPr>
        <w:tabs>
          <w:tab w:val="left" w:pos="-1440"/>
          <w:tab w:val="left" w:pos="-720"/>
          <w:tab w:val="left" w:pos="0"/>
          <w:tab w:val="left" w:pos="720"/>
        </w:tabs>
        <w:suppressAutoHyphens/>
        <w:ind w:right="-360"/>
        <w:rPr>
          <w:rFonts w:ascii="Bookman Old Style" w:hAnsi="Bookman Old Style"/>
          <w:szCs w:val="24"/>
        </w:rPr>
      </w:pPr>
      <w:r w:rsidRPr="00614A46">
        <w:rPr>
          <w:rFonts w:ascii="Bookman Old Style" w:hAnsi="Bookman Old Style"/>
          <w:szCs w:val="24"/>
        </w:rPr>
        <w:tab/>
      </w:r>
    </w:p>
    <w:p w:rsidR="0016206D" w:rsidRPr="00614A46" w:rsidRDefault="0016206D" w:rsidP="00614A46">
      <w:pPr>
        <w:tabs>
          <w:tab w:val="left" w:pos="-1440"/>
          <w:tab w:val="left" w:pos="-720"/>
          <w:tab w:val="left" w:pos="0"/>
          <w:tab w:val="left" w:pos="1440"/>
        </w:tabs>
        <w:suppressAutoHyphens/>
        <w:ind w:left="1440" w:right="-360" w:hanging="720"/>
        <w:rPr>
          <w:rFonts w:ascii="Bookman Old Style" w:hAnsi="Bookman Old Style"/>
          <w:szCs w:val="24"/>
        </w:rPr>
      </w:pPr>
      <w:r w:rsidRPr="00614A46">
        <w:rPr>
          <w:rFonts w:ascii="Bookman Old Style" w:hAnsi="Bookman Old Style"/>
          <w:szCs w:val="24"/>
        </w:rPr>
        <w:t>(a)</w:t>
      </w:r>
      <w:r w:rsidR="00E1431E" w:rsidRPr="00614A46">
        <w:rPr>
          <w:rFonts w:ascii="Bookman Old Style" w:hAnsi="Bookman Old Style"/>
          <w:szCs w:val="24"/>
        </w:rPr>
        <w:t xml:space="preserve">  </w:t>
      </w:r>
      <w:r w:rsidRPr="00614A46">
        <w:rPr>
          <w:rFonts w:ascii="Bookman Old Style" w:hAnsi="Bookman Old Style"/>
          <w:szCs w:val="24"/>
        </w:rPr>
        <w:t xml:space="preserve">  </w:t>
      </w:r>
      <w:r w:rsidR="00E1431E" w:rsidRPr="00614A46">
        <w:rPr>
          <w:rFonts w:ascii="Bookman Old Style" w:hAnsi="Bookman Old Style"/>
          <w:szCs w:val="24"/>
        </w:rPr>
        <w:t xml:space="preserve">  </w:t>
      </w:r>
      <w:r w:rsidRPr="00614A46">
        <w:rPr>
          <w:rFonts w:ascii="Bookman Old Style" w:hAnsi="Bookman Old Style"/>
          <w:szCs w:val="24"/>
        </w:rPr>
        <w:t>An insured worker is disqualified for waiting-week credit</w:t>
      </w:r>
      <w:r w:rsidR="00E1431E" w:rsidRPr="00614A46">
        <w:rPr>
          <w:rFonts w:ascii="Bookman Old Style" w:hAnsi="Bookman Old Style"/>
          <w:szCs w:val="24"/>
        </w:rPr>
        <w:t xml:space="preserve"> </w:t>
      </w:r>
      <w:r w:rsidRPr="00614A46">
        <w:rPr>
          <w:rFonts w:ascii="Bookman Old Style" w:hAnsi="Bookman Old Style"/>
          <w:szCs w:val="24"/>
        </w:rPr>
        <w:t>or benefits for the first week in which the insured worker is unemployed and for the next five weeks of unemployment following that week if the insured worker...</w:t>
      </w:r>
    </w:p>
    <w:p w:rsidR="00E1431E" w:rsidRPr="00614A46" w:rsidRDefault="00E1431E" w:rsidP="00614A46">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614A46" w:rsidRDefault="0016206D" w:rsidP="007D2BEE">
      <w:pPr>
        <w:tabs>
          <w:tab w:val="left" w:pos="-1440"/>
          <w:tab w:val="left" w:pos="-720"/>
          <w:tab w:val="left" w:pos="720"/>
          <w:tab w:val="left" w:pos="1800"/>
        </w:tabs>
        <w:suppressAutoHyphens/>
        <w:ind w:left="2520" w:right="-360" w:hanging="1710"/>
        <w:rPr>
          <w:rFonts w:ascii="Bookman Old Style" w:hAnsi="Bookman Old Style"/>
          <w:szCs w:val="24"/>
        </w:rPr>
      </w:pPr>
      <w:r w:rsidRPr="00614A46">
        <w:rPr>
          <w:rFonts w:ascii="Bookman Old Style" w:hAnsi="Bookman Old Style"/>
          <w:szCs w:val="24"/>
        </w:rPr>
        <w:t xml:space="preserve">          </w:t>
      </w:r>
      <w:r w:rsidR="00C841ED" w:rsidRPr="00614A46">
        <w:rPr>
          <w:rFonts w:ascii="Bookman Old Style" w:hAnsi="Bookman Old Style"/>
          <w:szCs w:val="24"/>
        </w:rPr>
        <w:tab/>
      </w:r>
      <w:r w:rsidRPr="00614A46">
        <w:rPr>
          <w:rFonts w:ascii="Bookman Old Style" w:hAnsi="Bookman Old Style"/>
          <w:szCs w:val="24"/>
        </w:rPr>
        <w:t xml:space="preserve">(2)  </w:t>
      </w:r>
      <w:r w:rsidR="00E1431E" w:rsidRPr="00614A46">
        <w:rPr>
          <w:rFonts w:ascii="Bookman Old Style" w:hAnsi="Bookman Old Style"/>
          <w:szCs w:val="24"/>
        </w:rPr>
        <w:t xml:space="preserve">   </w:t>
      </w:r>
      <w:proofErr w:type="gramStart"/>
      <w:r w:rsidRPr="00614A46">
        <w:rPr>
          <w:rFonts w:ascii="Bookman Old Style" w:hAnsi="Bookman Old Style"/>
          <w:szCs w:val="24"/>
        </w:rPr>
        <w:t>was</w:t>
      </w:r>
      <w:proofErr w:type="gramEnd"/>
      <w:r w:rsidRPr="00614A46">
        <w:rPr>
          <w:rFonts w:ascii="Bookman Old Style" w:hAnsi="Bookman Old Style"/>
          <w:szCs w:val="24"/>
        </w:rPr>
        <w:t xml:space="preserve"> discharge</w:t>
      </w:r>
      <w:r w:rsidR="00E1431E" w:rsidRPr="00614A46">
        <w:rPr>
          <w:rFonts w:ascii="Bookman Old Style" w:hAnsi="Bookman Old Style"/>
          <w:szCs w:val="24"/>
        </w:rPr>
        <w:t>d for misconduct connected with</w:t>
      </w:r>
      <w:r w:rsidRPr="00614A46">
        <w:rPr>
          <w:rFonts w:ascii="Bookman Old Style" w:hAnsi="Bookman Old Style"/>
          <w:szCs w:val="24"/>
        </w:rPr>
        <w:t xml:space="preserve"> the insured </w:t>
      </w:r>
      <w:r w:rsidR="00C841ED" w:rsidRPr="00614A46">
        <w:rPr>
          <w:rFonts w:ascii="Bookman Old Style" w:hAnsi="Bookman Old Style"/>
          <w:szCs w:val="24"/>
        </w:rPr>
        <w:t xml:space="preserve">                </w:t>
      </w:r>
      <w:r w:rsidRPr="00614A46">
        <w:rPr>
          <w:rFonts w:ascii="Bookman Old Style" w:hAnsi="Bookman Old Style"/>
          <w:szCs w:val="24"/>
        </w:rPr>
        <w:t>worker's last work</w:t>
      </w:r>
      <w:r w:rsidR="00C841ED" w:rsidRPr="00614A46">
        <w:rPr>
          <w:rFonts w:ascii="Bookman Old Style" w:hAnsi="Bookman Old Style"/>
          <w:szCs w:val="24"/>
        </w:rPr>
        <w:t>.</w:t>
      </w:r>
    </w:p>
    <w:p w:rsidR="005F35F2" w:rsidRPr="00614A46" w:rsidRDefault="005F35F2" w:rsidP="00614A46">
      <w:pPr>
        <w:tabs>
          <w:tab w:val="left" w:pos="-1440"/>
          <w:tab w:val="left" w:pos="-720"/>
          <w:tab w:val="left" w:pos="0"/>
          <w:tab w:val="left" w:pos="720"/>
          <w:tab w:val="left" w:pos="1440"/>
        </w:tabs>
        <w:suppressAutoHyphens/>
        <w:ind w:right="-360"/>
        <w:rPr>
          <w:rFonts w:ascii="Bookman Old Style" w:hAnsi="Bookman Old Style"/>
          <w:szCs w:val="24"/>
        </w:rPr>
      </w:pPr>
    </w:p>
    <w:p w:rsidR="00F36FB9" w:rsidRPr="00614A46" w:rsidRDefault="00F36FB9" w:rsidP="00614A46">
      <w:pPr>
        <w:widowControl/>
        <w:numPr>
          <w:ilvl w:val="0"/>
          <w:numId w:val="12"/>
        </w:numPr>
        <w:snapToGrid w:val="0"/>
        <w:rPr>
          <w:rFonts w:ascii="Bookman Old Style" w:hAnsi="Bookman Old Style"/>
          <w:spacing w:val="-3"/>
          <w:szCs w:val="24"/>
        </w:rPr>
      </w:pPr>
      <w:r w:rsidRPr="00614A46">
        <w:rPr>
          <w:rFonts w:ascii="Bookman Old Style" w:hAnsi="Bookman Old Style"/>
          <w:spacing w:val="-3"/>
          <w:szCs w:val="24"/>
        </w:rPr>
        <w:t>The department shall reduce the maximum potential benefits to which an insured worker disqualified under this section would have been entitled by three times the insured worker’s weekly benefit amount, excluding the allowance for dependents, or by the amount of unpaid benefits to which the insured work is entitled, whichever is less.</w:t>
      </w:r>
    </w:p>
    <w:p w:rsidR="00F36FB9" w:rsidRPr="00614A46" w:rsidRDefault="00F36FB9" w:rsidP="00614A46">
      <w:pPr>
        <w:ind w:left="720"/>
        <w:rPr>
          <w:rFonts w:ascii="Bookman Old Style" w:hAnsi="Bookman Old Style"/>
          <w:spacing w:val="-3"/>
          <w:szCs w:val="24"/>
        </w:rPr>
      </w:pPr>
    </w:p>
    <w:p w:rsidR="00F36FB9" w:rsidRPr="00614A46" w:rsidRDefault="00F36FB9" w:rsidP="00614A46">
      <w:pPr>
        <w:widowControl/>
        <w:numPr>
          <w:ilvl w:val="0"/>
          <w:numId w:val="12"/>
        </w:numPr>
        <w:snapToGrid w:val="0"/>
        <w:rPr>
          <w:rFonts w:ascii="Bookman Old Style" w:hAnsi="Bookman Old Style"/>
          <w:spacing w:val="-3"/>
          <w:szCs w:val="24"/>
        </w:rPr>
      </w:pPr>
      <w:r w:rsidRPr="00614A46">
        <w:rPr>
          <w:rFonts w:ascii="Bookman Old Style" w:hAnsi="Bookman Old Style"/>
          <w:spacing w:val="-3"/>
          <w:szCs w:val="24"/>
        </w:rPr>
        <w:t>The disqualification required in (a) and (b) of this section is terminated if the insured worker returns to employment and earns at least eight times the insured worker’s weekly benefit amount.</w:t>
      </w:r>
    </w:p>
    <w:p w:rsidR="00F36FB9" w:rsidRPr="00614A46" w:rsidRDefault="00F36FB9" w:rsidP="00614A46">
      <w:pPr>
        <w:rPr>
          <w:rFonts w:ascii="Bookman Old Style" w:hAnsi="Bookman Old Style"/>
          <w:spacing w:val="-3"/>
          <w:szCs w:val="24"/>
        </w:rPr>
      </w:pPr>
    </w:p>
    <w:p w:rsidR="00F36FB9" w:rsidRPr="00614A46" w:rsidRDefault="00F36FB9" w:rsidP="00614A46">
      <w:pPr>
        <w:widowControl/>
        <w:numPr>
          <w:ilvl w:val="0"/>
          <w:numId w:val="12"/>
        </w:numPr>
        <w:snapToGrid w:val="0"/>
        <w:rPr>
          <w:rFonts w:ascii="Bookman Old Style" w:hAnsi="Bookman Old Style"/>
          <w:szCs w:val="24"/>
        </w:rPr>
      </w:pPr>
      <w:r w:rsidRPr="00614A46">
        <w:rPr>
          <w:rFonts w:ascii="Bookman Old Style" w:hAnsi="Bookman Old Style"/>
          <w:szCs w:val="24"/>
        </w:rPr>
        <w:t>An insured worker is disqualified for waiting-week credit or benefits for the first week in which the insured worker is unemployed and for the next 51 weeks of unemployment following that week or until the individual has worked subsequent to the discharge from work and earned 20 times the insured worker's weekly benefit amount in employment covered under this chapter if the insured worker was discharged for commission of a felony or theft in connection with the work.  In addition, the insured worker is not eligible for extended benefits under this chapter until the worker has requalified for benefits by meeting the earnings requirement in this subsection.</w:t>
      </w:r>
    </w:p>
    <w:p w:rsidR="005F35F2" w:rsidRPr="00614A46" w:rsidRDefault="005F35F2" w:rsidP="00614A46">
      <w:pPr>
        <w:tabs>
          <w:tab w:val="left" w:pos="-1440"/>
          <w:tab w:val="left" w:pos="-720"/>
          <w:tab w:val="left" w:pos="0"/>
          <w:tab w:val="left" w:pos="720"/>
          <w:tab w:val="left" w:pos="1440"/>
        </w:tabs>
        <w:suppressAutoHyphens/>
        <w:ind w:right="-360"/>
        <w:rPr>
          <w:rFonts w:ascii="Bookman Old Style" w:hAnsi="Bookman Old Style"/>
          <w:szCs w:val="24"/>
        </w:rPr>
      </w:pP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b/>
          <w:szCs w:val="24"/>
        </w:rPr>
      </w:pPr>
      <w:r w:rsidRPr="00614A46">
        <w:rPr>
          <w:rFonts w:ascii="Bookman Old Style" w:hAnsi="Bookman Old Style"/>
          <w:b/>
          <w:szCs w:val="24"/>
        </w:rPr>
        <w:t>8 AAC 85.095 provides in part:</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E1431E" w:rsidRPr="00614A46" w:rsidRDefault="00E1431E" w:rsidP="00614A46">
      <w:pPr>
        <w:tabs>
          <w:tab w:val="left" w:pos="-1440"/>
          <w:tab w:val="left" w:pos="-720"/>
          <w:tab w:val="left" w:pos="720"/>
          <w:tab w:val="left" w:pos="1440"/>
        </w:tabs>
        <w:suppressAutoHyphens/>
        <w:ind w:left="1440" w:right="-360" w:hanging="1440"/>
        <w:rPr>
          <w:rFonts w:ascii="Bookman Old Style" w:hAnsi="Bookman Old Style"/>
          <w:szCs w:val="24"/>
        </w:rPr>
      </w:pPr>
      <w:r w:rsidRPr="00614A46">
        <w:rPr>
          <w:rFonts w:ascii="Bookman Old Style" w:hAnsi="Bookman Old Style"/>
          <w:szCs w:val="24"/>
        </w:rPr>
        <w:tab/>
      </w:r>
      <w:r w:rsidR="0016206D" w:rsidRPr="00614A46">
        <w:rPr>
          <w:rFonts w:ascii="Bookman Old Style" w:hAnsi="Bookman Old Style"/>
          <w:szCs w:val="24"/>
        </w:rPr>
        <w:t xml:space="preserve">(d)  </w:t>
      </w:r>
      <w:r w:rsidRPr="00614A46">
        <w:rPr>
          <w:rFonts w:ascii="Bookman Old Style" w:hAnsi="Bookman Old Style"/>
          <w:szCs w:val="24"/>
        </w:rPr>
        <w:t xml:space="preserve">   </w:t>
      </w:r>
      <w:r w:rsidR="0016206D" w:rsidRPr="00614A46">
        <w:rPr>
          <w:rFonts w:ascii="Bookman Old Style" w:hAnsi="Bookman Old Style"/>
          <w:szCs w:val="24"/>
        </w:rPr>
        <w:t>"Misconduct connected with the insured worker's work" as</w:t>
      </w:r>
      <w:r w:rsidRPr="00614A46">
        <w:rPr>
          <w:rFonts w:ascii="Bookman Old Style" w:hAnsi="Bookman Old Style"/>
          <w:szCs w:val="24"/>
        </w:rPr>
        <w:t xml:space="preserve"> </w:t>
      </w:r>
      <w:r w:rsidR="0016206D" w:rsidRPr="00614A46">
        <w:rPr>
          <w:rFonts w:ascii="Bookman Old Style" w:hAnsi="Bookman Old Style"/>
          <w:szCs w:val="24"/>
        </w:rPr>
        <w:t xml:space="preserve">used in </w:t>
      </w:r>
    </w:p>
    <w:p w:rsidR="0016206D" w:rsidRPr="00614A46" w:rsidRDefault="00E1431E" w:rsidP="00614A46">
      <w:pPr>
        <w:tabs>
          <w:tab w:val="left" w:pos="-1440"/>
          <w:tab w:val="left" w:pos="-720"/>
          <w:tab w:val="left" w:pos="720"/>
          <w:tab w:val="left" w:pos="1440"/>
        </w:tabs>
        <w:suppressAutoHyphens/>
        <w:ind w:left="1440" w:right="-360" w:hanging="1440"/>
        <w:rPr>
          <w:rFonts w:ascii="Bookman Old Style" w:hAnsi="Bookman Old Style"/>
          <w:szCs w:val="24"/>
        </w:rPr>
      </w:pPr>
      <w:r w:rsidRPr="00614A46">
        <w:rPr>
          <w:rFonts w:ascii="Bookman Old Style" w:hAnsi="Bookman Old Style"/>
          <w:szCs w:val="24"/>
        </w:rPr>
        <w:t xml:space="preserve">                   </w:t>
      </w:r>
      <w:r w:rsidR="0016206D" w:rsidRPr="00614A46">
        <w:rPr>
          <w:rFonts w:ascii="Bookman Old Style" w:hAnsi="Bookman Old Style"/>
          <w:szCs w:val="24"/>
        </w:rPr>
        <w:t>AS 23.20.379(a</w:t>
      </w:r>
      <w:proofErr w:type="gramStart"/>
      <w:r w:rsidR="0016206D" w:rsidRPr="00614A46">
        <w:rPr>
          <w:rFonts w:ascii="Bookman Old Style" w:hAnsi="Bookman Old Style"/>
          <w:szCs w:val="24"/>
        </w:rPr>
        <w:t>)(</w:t>
      </w:r>
      <w:proofErr w:type="gramEnd"/>
      <w:r w:rsidR="0016206D" w:rsidRPr="00614A46">
        <w:rPr>
          <w:rFonts w:ascii="Bookman Old Style" w:hAnsi="Bookman Old Style"/>
          <w:szCs w:val="24"/>
        </w:rPr>
        <w:t>2) means</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16206D" w:rsidRPr="00614A46" w:rsidRDefault="00E1431E" w:rsidP="00614A46">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0016206D" w:rsidRPr="00614A46">
        <w:rPr>
          <w:rFonts w:ascii="Bookman Old Style" w:hAnsi="Bookman Old Style"/>
          <w:szCs w:val="24"/>
        </w:rPr>
        <w:t xml:space="preserve">(1) </w:t>
      </w:r>
      <w:r w:rsidRPr="00614A46">
        <w:rPr>
          <w:rFonts w:ascii="Bookman Old Style" w:hAnsi="Bookman Old Style"/>
          <w:szCs w:val="24"/>
        </w:rPr>
        <w:t xml:space="preserve">  </w:t>
      </w:r>
      <w:r w:rsidR="0016206D" w:rsidRPr="00614A46">
        <w:rPr>
          <w:rFonts w:ascii="Bookman Old Style" w:hAnsi="Bookman Old Style"/>
          <w:szCs w:val="24"/>
        </w:rPr>
        <w:t xml:space="preserve"> </w:t>
      </w:r>
      <w:r w:rsidRPr="00614A46">
        <w:rPr>
          <w:rFonts w:ascii="Bookman Old Style" w:hAnsi="Bookman Old Style"/>
          <w:szCs w:val="24"/>
        </w:rPr>
        <w:t xml:space="preserve"> </w:t>
      </w:r>
      <w:r w:rsidR="00C841ED" w:rsidRPr="00614A46">
        <w:rPr>
          <w:rFonts w:ascii="Bookman Old Style" w:hAnsi="Bookman Old Style"/>
          <w:szCs w:val="24"/>
        </w:rPr>
        <w:t xml:space="preserve"> </w:t>
      </w:r>
      <w:r w:rsidR="0016206D" w:rsidRPr="00614A46">
        <w:rPr>
          <w:rFonts w:ascii="Bookman Old Style" w:hAnsi="Bookman Old Style"/>
          <w:szCs w:val="24"/>
        </w:rPr>
        <w:t>a claimant's conduct on the job, if the conduct</w:t>
      </w:r>
      <w:r w:rsidRPr="00614A46">
        <w:rPr>
          <w:rFonts w:ascii="Bookman Old Style" w:hAnsi="Bookman Old Style"/>
          <w:szCs w:val="24"/>
        </w:rPr>
        <w:t xml:space="preserve"> </w:t>
      </w:r>
      <w:r w:rsidR="0016206D" w:rsidRPr="00614A46">
        <w:rPr>
          <w:rFonts w:ascii="Bookman Old Style" w:hAnsi="Bookman Old Style"/>
          <w:szCs w:val="24"/>
        </w:rPr>
        <w:t>shows a wil</w:t>
      </w:r>
      <w:r w:rsidR="00C841ED" w:rsidRPr="00614A46">
        <w:rPr>
          <w:rFonts w:ascii="Bookman Old Style" w:hAnsi="Bookman Old Style"/>
          <w:szCs w:val="24"/>
        </w:rPr>
        <w:t>l</w:t>
      </w:r>
      <w:r w:rsidR="0016206D" w:rsidRPr="00614A46">
        <w:rPr>
          <w:rFonts w:ascii="Bookman Old Style" w:hAnsi="Bookman Old Style"/>
          <w:szCs w:val="24"/>
        </w:rPr>
        <w:t>ful and wanton disregard of the employer's interes</w:t>
      </w:r>
      <w:r w:rsidRPr="00614A46">
        <w:rPr>
          <w:rFonts w:ascii="Bookman Old Style" w:hAnsi="Bookman Old Style"/>
          <w:szCs w:val="24"/>
        </w:rPr>
        <w:t xml:space="preserve">t, as a claimant might show, for </w:t>
      </w:r>
      <w:r w:rsidR="0016206D" w:rsidRPr="00614A46">
        <w:rPr>
          <w:rFonts w:ascii="Bookman Old Style" w:hAnsi="Bookman Old Style"/>
          <w:szCs w:val="24"/>
        </w:rPr>
        <w:t>example, through gross or repeated negligence, wil</w:t>
      </w:r>
      <w:r w:rsidR="00C841ED" w:rsidRPr="00614A46">
        <w:rPr>
          <w:rFonts w:ascii="Bookman Old Style" w:hAnsi="Bookman Old Style"/>
          <w:szCs w:val="24"/>
        </w:rPr>
        <w:t>l</w:t>
      </w:r>
      <w:r w:rsidR="0016206D" w:rsidRPr="00614A46">
        <w:rPr>
          <w:rFonts w:ascii="Bookman Old Style" w:hAnsi="Bookman Old Style"/>
          <w:szCs w:val="24"/>
        </w:rPr>
        <w:t xml:space="preserve">ful violation of reasonable work rules, or deliberate violation </w:t>
      </w:r>
      <w:r w:rsidR="0016206D" w:rsidRPr="00614A46">
        <w:rPr>
          <w:rFonts w:ascii="Bookman Old Style" w:hAnsi="Bookman Old Style"/>
          <w:szCs w:val="24"/>
        </w:rPr>
        <w:lastRenderedPageBreak/>
        <w:t>or disregard of standards of behavior that the employer has the right to expect of an employee; wil</w:t>
      </w:r>
      <w:r w:rsidR="00C841ED" w:rsidRPr="00614A46">
        <w:rPr>
          <w:rFonts w:ascii="Bookman Old Style" w:hAnsi="Bookman Old Style"/>
          <w:szCs w:val="24"/>
        </w:rPr>
        <w:t>l</w:t>
      </w:r>
      <w:r w:rsidR="0016206D" w:rsidRPr="00614A46">
        <w:rPr>
          <w:rFonts w:ascii="Bookman Old Style" w:hAnsi="Bookman Old Style"/>
          <w:szCs w:val="24"/>
        </w:rPr>
        <w:t>ful and wanton disregard of the employer's interest does not arise solely from inefficiency, unsatisfactory performance as the result of inability or incapacity, inadvertence,</w:t>
      </w:r>
      <w:r w:rsidRPr="00614A46">
        <w:rPr>
          <w:rFonts w:ascii="Bookman Old Style" w:hAnsi="Bookman Old Style"/>
          <w:szCs w:val="24"/>
        </w:rPr>
        <w:t xml:space="preserve"> </w:t>
      </w:r>
      <w:r w:rsidR="0016206D" w:rsidRPr="00614A46">
        <w:rPr>
          <w:rFonts w:ascii="Bookman Old Style" w:hAnsi="Bookman Old Style"/>
          <w:szCs w:val="24"/>
        </w:rPr>
        <w:t>ordinary negligence in isolated instances, or good faith errors in judgment or discretion....</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D52E80" w:rsidRPr="00614A46" w:rsidRDefault="00D52E80" w:rsidP="00614A46">
      <w:pPr>
        <w:pStyle w:val="Default"/>
        <w:ind w:left="1440" w:hanging="720"/>
        <w:rPr>
          <w:rFonts w:ascii="Bookman Old Style" w:hAnsi="Bookman Old Style"/>
          <w:iCs/>
        </w:rPr>
      </w:pPr>
      <w:r w:rsidRPr="00614A46">
        <w:rPr>
          <w:rFonts w:ascii="Bookman Old Style" w:hAnsi="Bookman Old Style"/>
          <w:iCs/>
        </w:rPr>
        <w:t xml:space="preserve">(e) </w:t>
      </w:r>
      <w:r w:rsidRPr="00614A46">
        <w:rPr>
          <w:rFonts w:ascii="Bookman Old Style" w:hAnsi="Bookman Old Style"/>
          <w:iCs/>
        </w:rPr>
        <w:tab/>
        <w:t xml:space="preserve">A discharge for an act that constitutes commission of a felony or theft will result in a disqualification for benefits under AS 23.20.379(e) if </w:t>
      </w:r>
    </w:p>
    <w:p w:rsidR="00D52E80" w:rsidRPr="00614A46" w:rsidRDefault="00D52E80" w:rsidP="00614A46">
      <w:pPr>
        <w:pStyle w:val="Default"/>
        <w:ind w:left="1440" w:hanging="720"/>
        <w:rPr>
          <w:rFonts w:ascii="Bookman Old Style" w:hAnsi="Bookman Old Style"/>
        </w:rPr>
      </w:pPr>
    </w:p>
    <w:p w:rsidR="00D52E80" w:rsidRPr="002A2C00" w:rsidRDefault="00D52E80" w:rsidP="002A2C00">
      <w:pPr>
        <w:pStyle w:val="Default"/>
        <w:ind w:left="2160" w:hanging="720"/>
        <w:rPr>
          <w:rFonts w:ascii="Bookman Old Style" w:hAnsi="Bookman Old Style"/>
          <w:iCs/>
        </w:rPr>
      </w:pPr>
      <w:r w:rsidRPr="00614A46">
        <w:rPr>
          <w:rFonts w:ascii="Bookman Old Style" w:hAnsi="Bookman Old Style"/>
          <w:iCs/>
        </w:rPr>
        <w:t xml:space="preserve">(1) </w:t>
      </w:r>
      <w:r w:rsidRPr="00614A46">
        <w:rPr>
          <w:rFonts w:ascii="Bookman Old Style" w:hAnsi="Bookman Old Style"/>
          <w:iCs/>
        </w:rPr>
        <w:tab/>
      </w:r>
      <w:proofErr w:type="gramStart"/>
      <w:r w:rsidRPr="00614A46">
        <w:rPr>
          <w:rFonts w:ascii="Bookman Old Style" w:hAnsi="Bookman Old Style"/>
          <w:iCs/>
        </w:rPr>
        <w:t>charges</w:t>
      </w:r>
      <w:proofErr w:type="gramEnd"/>
      <w:r w:rsidRPr="00614A46">
        <w:rPr>
          <w:rFonts w:ascii="Bookman Old Style" w:hAnsi="Bookman Old Style"/>
          <w:iCs/>
        </w:rPr>
        <w:t xml:space="preserve"> are filed against the claimant or the employer has reported the act to the appropriate law enforcement authority; </w:t>
      </w:r>
    </w:p>
    <w:p w:rsidR="00D52E80" w:rsidRPr="002A2C00" w:rsidRDefault="00D52E80" w:rsidP="002A2C00">
      <w:pPr>
        <w:pStyle w:val="Default"/>
        <w:ind w:left="2160" w:hanging="720"/>
        <w:rPr>
          <w:rFonts w:ascii="Bookman Old Style" w:hAnsi="Bookman Old Style"/>
          <w:iCs/>
        </w:rPr>
      </w:pPr>
      <w:r w:rsidRPr="00614A46">
        <w:rPr>
          <w:rFonts w:ascii="Bookman Old Style" w:hAnsi="Bookman Old Style"/>
          <w:iCs/>
        </w:rPr>
        <w:t xml:space="preserve">(2) </w:t>
      </w:r>
      <w:r w:rsidRPr="00614A46">
        <w:rPr>
          <w:rFonts w:ascii="Bookman Old Style" w:hAnsi="Bookman Old Style"/>
          <w:iCs/>
        </w:rPr>
        <w:tab/>
      </w:r>
      <w:proofErr w:type="gramStart"/>
      <w:r w:rsidRPr="00614A46">
        <w:rPr>
          <w:rFonts w:ascii="Bookman Old Style" w:hAnsi="Bookman Old Style"/>
          <w:iCs/>
        </w:rPr>
        <w:t>the</w:t>
      </w:r>
      <w:proofErr w:type="gramEnd"/>
      <w:r w:rsidRPr="00614A46">
        <w:rPr>
          <w:rFonts w:ascii="Bookman Old Style" w:hAnsi="Bookman Old Style"/>
          <w:iCs/>
        </w:rPr>
        <w:t xml:space="preserve"> felony or theft is "misconduct connected with the insured worker's work" under (d) of this section; and </w:t>
      </w:r>
    </w:p>
    <w:p w:rsidR="00D52E80" w:rsidRPr="002A2C00" w:rsidRDefault="00D52E80" w:rsidP="00614A46">
      <w:pPr>
        <w:pStyle w:val="Default"/>
        <w:numPr>
          <w:ilvl w:val="0"/>
          <w:numId w:val="13"/>
        </w:numPr>
        <w:rPr>
          <w:rFonts w:ascii="Bookman Old Style" w:hAnsi="Bookman Old Style"/>
          <w:iCs/>
        </w:rPr>
      </w:pPr>
      <w:r w:rsidRPr="00614A46">
        <w:rPr>
          <w:rFonts w:ascii="Bookman Old Style" w:hAnsi="Bookman Old Style"/>
          <w:iCs/>
        </w:rPr>
        <w:t xml:space="preserve">a preponderance of the evidence establishes that </w:t>
      </w:r>
    </w:p>
    <w:p w:rsidR="00D52E80" w:rsidRPr="002A2C00" w:rsidRDefault="00D52E80" w:rsidP="002A2C00">
      <w:pPr>
        <w:pStyle w:val="Default"/>
        <w:numPr>
          <w:ilvl w:val="0"/>
          <w:numId w:val="5"/>
        </w:numPr>
        <w:rPr>
          <w:rFonts w:ascii="Bookman Old Style" w:hAnsi="Bookman Old Style"/>
          <w:iCs/>
        </w:rPr>
      </w:pPr>
      <w:r w:rsidRPr="00614A46">
        <w:rPr>
          <w:rFonts w:ascii="Bookman Old Style" w:hAnsi="Bookman Old Style"/>
          <w:iCs/>
        </w:rPr>
        <w:t xml:space="preserve">the claimant committed the act; and </w:t>
      </w:r>
    </w:p>
    <w:p w:rsidR="00D52E80" w:rsidRPr="00614A46" w:rsidRDefault="00D52E80" w:rsidP="00614A46">
      <w:pPr>
        <w:pStyle w:val="Default"/>
        <w:ind w:left="2160"/>
        <w:rPr>
          <w:rFonts w:ascii="Bookman Old Style" w:hAnsi="Bookman Old Style"/>
          <w:iCs/>
        </w:rPr>
      </w:pPr>
      <w:r w:rsidRPr="00614A46">
        <w:rPr>
          <w:rFonts w:ascii="Bookman Old Style" w:hAnsi="Bookman Old Style"/>
          <w:iCs/>
        </w:rPr>
        <w:t xml:space="preserve">(B) </w:t>
      </w:r>
      <w:r w:rsidRPr="00614A46">
        <w:rPr>
          <w:rFonts w:ascii="Bookman Old Style" w:hAnsi="Bookman Old Style"/>
          <w:iCs/>
        </w:rPr>
        <w:tab/>
      </w:r>
      <w:proofErr w:type="gramStart"/>
      <w:r w:rsidRPr="00614A46">
        <w:rPr>
          <w:rFonts w:ascii="Bookman Old Style" w:hAnsi="Bookman Old Style"/>
          <w:iCs/>
        </w:rPr>
        <w:t>the</w:t>
      </w:r>
      <w:proofErr w:type="gramEnd"/>
      <w:r w:rsidRPr="00614A46">
        <w:rPr>
          <w:rFonts w:ascii="Bookman Old Style" w:hAnsi="Bookman Old Style"/>
          <w:iCs/>
        </w:rPr>
        <w:t xml:space="preserve"> act was not justified under AS 11.81.300 – </w:t>
      </w:r>
    </w:p>
    <w:p w:rsidR="00D52E80" w:rsidRPr="002A2C00" w:rsidRDefault="00D52E80" w:rsidP="002A2C00">
      <w:pPr>
        <w:pStyle w:val="Default"/>
        <w:ind w:left="2160" w:firstLine="720"/>
        <w:rPr>
          <w:rFonts w:ascii="Bookman Old Style" w:hAnsi="Bookman Old Style"/>
          <w:iCs/>
        </w:rPr>
      </w:pPr>
      <w:r w:rsidRPr="00614A46">
        <w:rPr>
          <w:rFonts w:ascii="Bookman Old Style" w:hAnsi="Bookman Old Style"/>
          <w:iCs/>
        </w:rPr>
        <w:t xml:space="preserve">AS 11.81.450. </w:t>
      </w:r>
    </w:p>
    <w:p w:rsidR="00D52E80" w:rsidRPr="002A2C00" w:rsidRDefault="00D52E80" w:rsidP="002A2C00">
      <w:pPr>
        <w:pStyle w:val="Default"/>
        <w:ind w:left="1440" w:hanging="720"/>
        <w:rPr>
          <w:rFonts w:ascii="Bookman Old Style" w:hAnsi="Bookman Old Style"/>
          <w:iCs/>
        </w:rPr>
      </w:pPr>
      <w:r w:rsidRPr="00614A46">
        <w:rPr>
          <w:rFonts w:ascii="Bookman Old Style" w:hAnsi="Bookman Old Style"/>
          <w:iCs/>
        </w:rPr>
        <w:t xml:space="preserve">(f) </w:t>
      </w:r>
      <w:r w:rsidRPr="00614A46">
        <w:rPr>
          <w:rFonts w:ascii="Bookman Old Style" w:hAnsi="Bookman Old Style"/>
          <w:iCs/>
        </w:rPr>
        <w:tab/>
        <w:t>An acquittal, plea to a lesser charge, or dismissal of charges does not prevent a disqualification for benefits under (e) of this section, if a preponderance of evidence supports that disqualification.</w:t>
      </w:r>
    </w:p>
    <w:p w:rsidR="00D52E80" w:rsidRPr="002A2C00" w:rsidRDefault="00D52E80" w:rsidP="002A2C00">
      <w:pPr>
        <w:pStyle w:val="Default"/>
        <w:ind w:left="720"/>
        <w:rPr>
          <w:rFonts w:ascii="Bookman Old Style" w:hAnsi="Bookman Old Style"/>
          <w:iCs/>
        </w:rPr>
      </w:pPr>
      <w:r w:rsidRPr="00614A46">
        <w:rPr>
          <w:rFonts w:ascii="Bookman Old Style" w:hAnsi="Bookman Old Style"/>
          <w:iCs/>
        </w:rPr>
        <w:t xml:space="preserve">(g) </w:t>
      </w:r>
      <w:r w:rsidRPr="00614A46">
        <w:rPr>
          <w:rFonts w:ascii="Bookman Old Style" w:hAnsi="Bookman Old Style"/>
          <w:iCs/>
        </w:rPr>
        <w:tab/>
        <w:t xml:space="preserve">For purposes of this section </w:t>
      </w:r>
    </w:p>
    <w:p w:rsidR="00D52E80" w:rsidRPr="002A2C00" w:rsidRDefault="00D52E80" w:rsidP="002A2C00">
      <w:pPr>
        <w:pStyle w:val="Default"/>
        <w:numPr>
          <w:ilvl w:val="0"/>
          <w:numId w:val="3"/>
        </w:numPr>
        <w:rPr>
          <w:rFonts w:ascii="Bookman Old Style" w:hAnsi="Bookman Old Style"/>
          <w:iCs/>
        </w:rPr>
      </w:pPr>
      <w:r w:rsidRPr="00614A46">
        <w:rPr>
          <w:rFonts w:ascii="Bookman Old Style" w:hAnsi="Bookman Old Style"/>
          <w:iCs/>
        </w:rPr>
        <w:t xml:space="preserve">"felony" means an act classified as a felony in AS 11; and </w:t>
      </w:r>
    </w:p>
    <w:p w:rsidR="00D52E80" w:rsidRPr="00614A46" w:rsidRDefault="00D52E80" w:rsidP="00614A46">
      <w:pPr>
        <w:widowControl/>
        <w:numPr>
          <w:ilvl w:val="0"/>
          <w:numId w:val="3"/>
        </w:numPr>
        <w:spacing w:after="200"/>
        <w:rPr>
          <w:rFonts w:ascii="Bookman Old Style" w:hAnsi="Bookman Old Style"/>
          <w:iCs/>
          <w:szCs w:val="24"/>
        </w:rPr>
      </w:pPr>
      <w:r w:rsidRPr="00614A46">
        <w:rPr>
          <w:rFonts w:ascii="Bookman Old Style" w:hAnsi="Bookman Old Style"/>
          <w:iCs/>
          <w:szCs w:val="24"/>
        </w:rPr>
        <w:t>"</w:t>
      </w:r>
      <w:proofErr w:type="gramStart"/>
      <w:r w:rsidRPr="00614A46">
        <w:rPr>
          <w:rFonts w:ascii="Bookman Old Style" w:hAnsi="Bookman Old Style"/>
          <w:iCs/>
          <w:szCs w:val="24"/>
        </w:rPr>
        <w:t>theft</w:t>
      </w:r>
      <w:proofErr w:type="gramEnd"/>
      <w:r w:rsidRPr="00614A46">
        <w:rPr>
          <w:rFonts w:ascii="Bookman Old Style" w:hAnsi="Bookman Old Style"/>
          <w:iCs/>
          <w:szCs w:val="24"/>
        </w:rPr>
        <w:t>" means an act described in AS 11.46.100, if the value of the property or service is $50 or more.</w:t>
      </w:r>
    </w:p>
    <w:p w:rsidR="005F35F2" w:rsidRPr="00614A46" w:rsidRDefault="005F35F2" w:rsidP="00614A46">
      <w:pPr>
        <w:widowControl/>
        <w:tabs>
          <w:tab w:val="left" w:pos="720"/>
          <w:tab w:val="left" w:pos="1440"/>
          <w:tab w:val="left" w:pos="2160"/>
          <w:tab w:val="left" w:pos="2880"/>
        </w:tabs>
        <w:suppressAutoHyphens/>
        <w:ind w:left="1440"/>
        <w:rPr>
          <w:rFonts w:ascii="Bookman Old Style" w:hAnsi="Bookman Old Style"/>
          <w:szCs w:val="24"/>
        </w:rPr>
      </w:pP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CONCLUSION</w:t>
      </w:r>
    </w:p>
    <w:p w:rsidR="0016206D" w:rsidRPr="00614A46" w:rsidRDefault="0016206D" w:rsidP="00614A46">
      <w:pPr>
        <w:tabs>
          <w:tab w:val="left" w:pos="-1440"/>
          <w:tab w:val="left" w:pos="-720"/>
        </w:tabs>
        <w:suppressAutoHyphens/>
        <w:ind w:right="-360"/>
        <w:rPr>
          <w:rFonts w:ascii="Bookman Old Style" w:hAnsi="Bookman Old Style"/>
          <w:szCs w:val="24"/>
        </w:rPr>
      </w:pPr>
    </w:p>
    <w:p w:rsidR="002628E5" w:rsidRDefault="002628E5"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for using the employer’s credit card to make personal purchases. The employer reported the claimant’s theft to the police. </w:t>
      </w:r>
    </w:p>
    <w:p w:rsidR="002628E5" w:rsidRDefault="002628E5" w:rsidP="00614A46">
      <w:pPr>
        <w:tabs>
          <w:tab w:val="left" w:pos="-1440"/>
          <w:tab w:val="left" w:pos="-720"/>
        </w:tabs>
        <w:suppressAutoHyphens/>
        <w:ind w:right="-360"/>
        <w:rPr>
          <w:rFonts w:ascii="Bookman Old Style" w:hAnsi="Bookman Old Style"/>
          <w:szCs w:val="24"/>
        </w:rPr>
      </w:pPr>
    </w:p>
    <w:p w:rsidR="00941225" w:rsidRDefault="002628E5"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argued that she </w:t>
      </w:r>
      <w:r w:rsidR="007D2BEE">
        <w:rPr>
          <w:rFonts w:ascii="Bookman Old Style" w:hAnsi="Bookman Old Style"/>
          <w:szCs w:val="24"/>
        </w:rPr>
        <w:t xml:space="preserve">believed she </w:t>
      </w:r>
      <w:r>
        <w:rPr>
          <w:rFonts w:ascii="Bookman Old Style" w:hAnsi="Bookman Old Style"/>
          <w:szCs w:val="24"/>
        </w:rPr>
        <w:t>had permission to use the employer’s credit card because she was told it was okay that she had mistakenly used the card for a taxi</w:t>
      </w:r>
      <w:r w:rsidR="00941225">
        <w:rPr>
          <w:rFonts w:ascii="Bookman Old Style" w:hAnsi="Bookman Old Style"/>
          <w:szCs w:val="24"/>
        </w:rPr>
        <w:t>, because she had repaid the employer</w:t>
      </w:r>
      <w:r w:rsidR="007D2BEE">
        <w:rPr>
          <w:rFonts w:ascii="Bookman Old Style" w:hAnsi="Bookman Old Style"/>
          <w:szCs w:val="24"/>
        </w:rPr>
        <w:t xml:space="preserve"> before </w:t>
      </w:r>
      <w:r>
        <w:rPr>
          <w:rFonts w:ascii="Bookman Old Style" w:hAnsi="Bookman Old Style"/>
          <w:szCs w:val="24"/>
        </w:rPr>
        <w:t xml:space="preserve">the end of the month so no interest or fees were incurred.  However, the claimant </w:t>
      </w:r>
      <w:r w:rsidR="007D2BEE">
        <w:rPr>
          <w:rFonts w:ascii="Bookman Old Style" w:hAnsi="Bookman Old Style"/>
          <w:szCs w:val="24"/>
        </w:rPr>
        <w:t>admittedly used the employer’s credit card</w:t>
      </w:r>
      <w:r>
        <w:rPr>
          <w:rFonts w:ascii="Bookman Old Style" w:hAnsi="Bookman Old Style"/>
          <w:szCs w:val="24"/>
        </w:rPr>
        <w:t xml:space="preserve"> for personal purchases throughout the month of November and took no action</w:t>
      </w:r>
      <w:r w:rsidR="007D2BEE">
        <w:rPr>
          <w:rFonts w:ascii="Bookman Old Style" w:hAnsi="Bookman Old Style"/>
          <w:szCs w:val="24"/>
        </w:rPr>
        <w:t xml:space="preserve"> and showed no intent</w:t>
      </w:r>
      <w:r>
        <w:rPr>
          <w:rFonts w:ascii="Bookman Old Style" w:hAnsi="Bookman Old Style"/>
          <w:szCs w:val="24"/>
        </w:rPr>
        <w:t xml:space="preserve"> to repay the employer for the $658.85 </w:t>
      </w:r>
      <w:r w:rsidR="007D2BEE">
        <w:rPr>
          <w:rFonts w:ascii="Bookman Old Style" w:hAnsi="Bookman Old Style"/>
          <w:szCs w:val="24"/>
        </w:rPr>
        <w:t xml:space="preserve">in personal purchases </w:t>
      </w:r>
      <w:r>
        <w:rPr>
          <w:rFonts w:ascii="Bookman Old Style" w:hAnsi="Bookman Old Style"/>
          <w:szCs w:val="24"/>
        </w:rPr>
        <w:t xml:space="preserve">that she admitted to by the end of </w:t>
      </w:r>
      <w:r w:rsidR="007D2BEE">
        <w:rPr>
          <w:rFonts w:ascii="Bookman Old Style" w:hAnsi="Bookman Old Style"/>
          <w:szCs w:val="24"/>
        </w:rPr>
        <w:t>November</w:t>
      </w:r>
      <w:r>
        <w:rPr>
          <w:rFonts w:ascii="Bookman Old Style" w:hAnsi="Bookman Old Style"/>
          <w:szCs w:val="24"/>
        </w:rPr>
        <w:t xml:space="preserve">. </w:t>
      </w:r>
    </w:p>
    <w:p w:rsidR="007D2BEE" w:rsidRDefault="007D2BEE" w:rsidP="00614A46">
      <w:pPr>
        <w:tabs>
          <w:tab w:val="left" w:pos="-1440"/>
          <w:tab w:val="left" w:pos="-720"/>
        </w:tabs>
        <w:suppressAutoHyphens/>
        <w:ind w:right="-360"/>
        <w:rPr>
          <w:rFonts w:ascii="Bookman Old Style" w:hAnsi="Bookman Old Style"/>
          <w:szCs w:val="24"/>
        </w:rPr>
      </w:pPr>
    </w:p>
    <w:p w:rsidR="00941225" w:rsidRDefault="00941225" w:rsidP="00614A46">
      <w:pPr>
        <w:tabs>
          <w:tab w:val="left" w:pos="-1440"/>
          <w:tab w:val="left" w:pos="-720"/>
        </w:tabs>
        <w:suppressAutoHyphens/>
        <w:ind w:right="-360"/>
        <w:rPr>
          <w:rFonts w:ascii="Bookman Old Style" w:hAnsi="Bookman Old Style"/>
          <w:szCs w:val="24"/>
        </w:rPr>
      </w:pPr>
    </w:p>
    <w:p w:rsidR="007D2BEE" w:rsidRDefault="007D2BEE" w:rsidP="00614A46">
      <w:pPr>
        <w:tabs>
          <w:tab w:val="left" w:pos="-1440"/>
          <w:tab w:val="left" w:pos="-720"/>
        </w:tabs>
        <w:suppressAutoHyphens/>
        <w:ind w:right="-360"/>
        <w:rPr>
          <w:rFonts w:ascii="Bookman Old Style" w:hAnsi="Bookman Old Style"/>
          <w:szCs w:val="24"/>
        </w:rPr>
      </w:pPr>
    </w:p>
    <w:p w:rsidR="00941225" w:rsidRPr="00941225" w:rsidRDefault="00941225" w:rsidP="00941225">
      <w:pPr>
        <w:ind w:left="720"/>
        <w:rPr>
          <w:rFonts w:ascii="Bookman Old Style" w:hAnsi="Bookman Old Style"/>
          <w:i/>
          <w:spacing w:val="-3"/>
        </w:rPr>
      </w:pPr>
      <w:r w:rsidRPr="00941225">
        <w:rPr>
          <w:rFonts w:ascii="Bookman Old Style" w:hAnsi="Bookman Old Style"/>
          <w:i/>
          <w:spacing w:val="-3"/>
        </w:rPr>
        <w:lastRenderedPageBreak/>
        <w:t xml:space="preserve">A Hearing Officer must base his decision on a "preponderance of evidence." See e.g. </w:t>
      </w:r>
      <w:r w:rsidRPr="00941225">
        <w:rPr>
          <w:rFonts w:ascii="Bookman Old Style" w:hAnsi="Bookman Old Style"/>
          <w:i/>
          <w:spacing w:val="-3"/>
          <w:u w:val="single"/>
        </w:rPr>
        <w:t>Patterson</w:t>
      </w:r>
      <w:r>
        <w:rPr>
          <w:rFonts w:ascii="Bookman Old Style" w:hAnsi="Bookman Old Style"/>
          <w:i/>
          <w:spacing w:val="-3"/>
        </w:rPr>
        <w:t>, Com.</w:t>
      </w:r>
      <w:r w:rsidRPr="00941225">
        <w:rPr>
          <w:rFonts w:ascii="Bookman Old Style" w:hAnsi="Bookman Old Style"/>
          <w:i/>
          <w:spacing w:val="-3"/>
        </w:rPr>
        <w:t xml:space="preserve"> Dec. 86H-UI-233, 1C </w:t>
      </w:r>
      <w:proofErr w:type="spellStart"/>
      <w:r w:rsidRPr="00941225">
        <w:rPr>
          <w:rFonts w:ascii="Bookman Old Style" w:hAnsi="Bookman Old Style"/>
          <w:i/>
          <w:spacing w:val="-3"/>
        </w:rPr>
        <w:t>Unemp</w:t>
      </w:r>
      <w:proofErr w:type="spellEnd"/>
      <w:r w:rsidRPr="00941225">
        <w:rPr>
          <w:rFonts w:ascii="Bookman Old Style" w:hAnsi="Bookman Old Style"/>
          <w:i/>
          <w:spacing w:val="-3"/>
        </w:rPr>
        <w:t xml:space="preserve">. Ins. </w:t>
      </w:r>
      <w:proofErr w:type="spellStart"/>
      <w:r w:rsidRPr="00941225">
        <w:rPr>
          <w:rFonts w:ascii="Bookman Old Style" w:hAnsi="Bookman Old Style"/>
          <w:i/>
          <w:spacing w:val="-3"/>
        </w:rPr>
        <w:t>Rptr</w:t>
      </w:r>
      <w:proofErr w:type="spellEnd"/>
      <w:r w:rsidRPr="00941225">
        <w:rPr>
          <w:rFonts w:ascii="Bookman Old Style" w:hAnsi="Bookman Old Style"/>
          <w:i/>
          <w:spacing w:val="-3"/>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941225">
        <w:rPr>
          <w:rFonts w:ascii="Bookman Old Style" w:hAnsi="Bookman Old Style"/>
          <w:i/>
          <w:spacing w:val="-3"/>
          <w:u w:val="single"/>
        </w:rPr>
        <w:t>Adelman</w:t>
      </w:r>
      <w:r>
        <w:rPr>
          <w:rFonts w:ascii="Bookman Old Style" w:hAnsi="Bookman Old Style"/>
          <w:i/>
          <w:spacing w:val="-3"/>
        </w:rPr>
        <w:t>, Com</w:t>
      </w:r>
      <w:r w:rsidRPr="00941225">
        <w:rPr>
          <w:rFonts w:ascii="Bookman Old Style" w:hAnsi="Bookman Old Style"/>
          <w:i/>
          <w:spacing w:val="-3"/>
        </w:rPr>
        <w:t xml:space="preserve">. Dec. 86H-UI-041, 1C </w:t>
      </w:r>
      <w:proofErr w:type="spellStart"/>
      <w:r w:rsidRPr="00941225">
        <w:rPr>
          <w:rFonts w:ascii="Bookman Old Style" w:hAnsi="Bookman Old Style"/>
          <w:i/>
          <w:spacing w:val="-3"/>
        </w:rPr>
        <w:t>Unemp</w:t>
      </w:r>
      <w:proofErr w:type="spellEnd"/>
      <w:r w:rsidRPr="00941225">
        <w:rPr>
          <w:rFonts w:ascii="Bookman Old Style" w:hAnsi="Bookman Old Style"/>
          <w:i/>
          <w:spacing w:val="-3"/>
        </w:rPr>
        <w:t xml:space="preserve">. Ins. </w:t>
      </w:r>
      <w:proofErr w:type="spellStart"/>
      <w:r w:rsidRPr="00941225">
        <w:rPr>
          <w:rFonts w:ascii="Bookman Old Style" w:hAnsi="Bookman Old Style"/>
          <w:i/>
          <w:spacing w:val="-3"/>
        </w:rPr>
        <w:t>Rptr</w:t>
      </w:r>
      <w:proofErr w:type="spellEnd"/>
      <w:r w:rsidRPr="00941225">
        <w:rPr>
          <w:rFonts w:ascii="Bookman Old Style" w:hAnsi="Bookman Old Style"/>
          <w:i/>
          <w:spacing w:val="-3"/>
        </w:rPr>
        <w:t xml:space="preserve">. (CCH), AK ¶8121.25, 5/10/86, citing </w:t>
      </w:r>
      <w:r w:rsidRPr="00941225">
        <w:rPr>
          <w:rFonts w:ascii="Bookman Old Style" w:hAnsi="Bookman Old Style"/>
          <w:i/>
          <w:spacing w:val="-3"/>
          <w:u w:val="single"/>
        </w:rPr>
        <w:t>S. Yamamoto v. Puget Sound Lumber Co.</w:t>
      </w:r>
      <w:r w:rsidRPr="00941225">
        <w:rPr>
          <w:rFonts w:ascii="Bookman Old Style" w:hAnsi="Bookman Old Style"/>
          <w:i/>
          <w:spacing w:val="-3"/>
        </w:rPr>
        <w:t>, 146 P. 861, 863 (WA).</w:t>
      </w:r>
    </w:p>
    <w:p w:rsidR="002628E5" w:rsidRPr="00941225" w:rsidRDefault="002628E5" w:rsidP="00941225">
      <w:pPr>
        <w:tabs>
          <w:tab w:val="left" w:pos="-1440"/>
          <w:tab w:val="left" w:pos="-720"/>
        </w:tabs>
        <w:suppressAutoHyphens/>
        <w:ind w:left="720" w:right="-360"/>
        <w:rPr>
          <w:rFonts w:ascii="Bookman Old Style" w:hAnsi="Bookman Old Style"/>
          <w:i/>
          <w:szCs w:val="24"/>
        </w:rPr>
      </w:pPr>
      <w:r w:rsidRPr="00941225">
        <w:rPr>
          <w:rFonts w:ascii="Bookman Old Style" w:hAnsi="Bookman Old Style"/>
          <w:i/>
          <w:szCs w:val="24"/>
        </w:rPr>
        <w:t xml:space="preserve"> </w:t>
      </w:r>
    </w:p>
    <w:p w:rsidR="002628E5" w:rsidRDefault="00941225"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preponderance of the evidence in this case indicates the claimant charged items to the employer’s credit card that were for her personal use in the amount of at least $658.85. </w:t>
      </w:r>
      <w:r w:rsidR="007D2BEE">
        <w:rPr>
          <w:rFonts w:ascii="Bookman Old Style" w:hAnsi="Bookman Old Style"/>
          <w:szCs w:val="24"/>
        </w:rPr>
        <w:t xml:space="preserve">The claimant’s belief that she had permission to make personal purchases on the employer’s card is not reasonable and she did not follow what she believed to be the conditions of using the card by repaying the employer by the end of the month.  Not getting in trouble for mistakenly using the card does not imply permission to use the credit card at will. </w:t>
      </w:r>
      <w:r>
        <w:rPr>
          <w:rFonts w:ascii="Bookman Old Style" w:hAnsi="Bookman Old Style"/>
          <w:szCs w:val="24"/>
        </w:rPr>
        <w:t xml:space="preserve">The Tribunal does not find the claimant’s use of the employer’s credit card to be justified under AS 11.81.300-11.81.450. </w:t>
      </w:r>
    </w:p>
    <w:p w:rsidR="00941225" w:rsidRDefault="00941225" w:rsidP="00614A46">
      <w:pPr>
        <w:tabs>
          <w:tab w:val="left" w:pos="-1440"/>
          <w:tab w:val="left" w:pos="-720"/>
        </w:tabs>
        <w:suppressAutoHyphens/>
        <w:ind w:right="-360"/>
        <w:rPr>
          <w:rFonts w:ascii="Bookman Old Style" w:hAnsi="Bookman Old Style"/>
          <w:szCs w:val="24"/>
        </w:rPr>
      </w:pPr>
    </w:p>
    <w:p w:rsidR="0016206D" w:rsidRPr="00614A46" w:rsidRDefault="00941225"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The Tribunal finds the claimant was discharged for felony theft connected to her work.  The penalties of AS 23.20.379(e) are appropriate.</w:t>
      </w:r>
    </w:p>
    <w:p w:rsidR="0016206D" w:rsidRPr="00614A46" w:rsidRDefault="0016206D" w:rsidP="00614A46">
      <w:pPr>
        <w:tabs>
          <w:tab w:val="left" w:pos="-1440"/>
          <w:tab w:val="left" w:pos="-720"/>
        </w:tabs>
        <w:suppressAutoHyphens/>
        <w:ind w:right="-360"/>
        <w:rPr>
          <w:rFonts w:ascii="Bookman Old Style" w:hAnsi="Bookman Old Style"/>
          <w:szCs w:val="24"/>
        </w:rPr>
      </w:pPr>
    </w:p>
    <w:p w:rsidR="00614A46" w:rsidRPr="00941225" w:rsidRDefault="0016206D" w:rsidP="00941225">
      <w:pPr>
        <w:tabs>
          <w:tab w:val="left" w:pos="-1440"/>
          <w:tab w:val="left" w:pos="-720"/>
        </w:tabs>
        <w:suppressAutoHyphens/>
        <w:jc w:val="center"/>
        <w:rPr>
          <w:rFonts w:ascii="Bookman Old Style" w:hAnsi="Bookman Old Style"/>
          <w:szCs w:val="24"/>
        </w:rPr>
      </w:pPr>
      <w:r w:rsidRPr="00614A46">
        <w:rPr>
          <w:rFonts w:ascii="Bookman Old Style" w:hAnsi="Bookman Old Style"/>
          <w:b/>
          <w:szCs w:val="24"/>
        </w:rPr>
        <w:t>DECISION</w:t>
      </w:r>
      <w:r w:rsidR="00614A46">
        <w:rPr>
          <w:rFonts w:ascii="Bookman Old Style" w:hAnsi="Bookman Old Style"/>
        </w:rPr>
        <w:br/>
      </w:r>
    </w:p>
    <w:p w:rsidR="0016206D" w:rsidRDefault="00614A46" w:rsidP="00614A46">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941225">
        <w:rPr>
          <w:rFonts w:ascii="Bookman Old Style" w:hAnsi="Bookman Old Style"/>
          <w:szCs w:val="24"/>
        </w:rPr>
        <w:t>January 8, 2020</w:t>
      </w:r>
      <w:r w:rsidRPr="00E1431E">
        <w:rPr>
          <w:rFonts w:ascii="Bookman Old Style" w:hAnsi="Bookman Old Style"/>
        </w:rPr>
        <w:t xml:space="preserve"> is </w:t>
      </w:r>
      <w:r w:rsidR="00941225">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941225">
        <w:rPr>
          <w:rFonts w:ascii="Bookman Old Style" w:hAnsi="Bookman Old Style"/>
          <w:szCs w:val="24"/>
        </w:rPr>
        <w:t xml:space="preserve">December 7, 2019 through </w:t>
      </w:r>
      <w:r w:rsidR="00A924DA">
        <w:rPr>
          <w:rFonts w:ascii="Bookman Old Style" w:hAnsi="Bookman Old Style"/>
          <w:szCs w:val="24"/>
        </w:rPr>
        <w:t>November</w:t>
      </w:r>
      <w:r w:rsidR="00941225">
        <w:rPr>
          <w:rFonts w:ascii="Bookman Old Style" w:hAnsi="Bookman Old Style"/>
          <w:szCs w:val="24"/>
        </w:rPr>
        <w:t xml:space="preserve"> 28, 2020</w:t>
      </w:r>
      <w:r w:rsidRPr="00E1431E">
        <w:rPr>
          <w:rFonts w:ascii="Bookman Old Style" w:hAnsi="Bookman Old Style"/>
        </w:rPr>
        <w:t xml:space="preserve">. </w:t>
      </w:r>
    </w:p>
    <w:p w:rsidR="00941225" w:rsidRPr="00614A46" w:rsidRDefault="00941225"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APPEAL RIGHTS</w:t>
      </w:r>
    </w:p>
    <w:p w:rsidR="0016206D" w:rsidRPr="00614A46" w:rsidRDefault="0016206D" w:rsidP="00614A46">
      <w:pPr>
        <w:tabs>
          <w:tab w:val="left" w:pos="-1440"/>
          <w:tab w:val="left" w:pos="-720"/>
        </w:tabs>
        <w:suppressAutoHyphens/>
        <w:ind w:right="-360"/>
        <w:rPr>
          <w:rFonts w:ascii="Bookman Old Style" w:hAnsi="Bookman Old Style"/>
          <w:szCs w:val="24"/>
        </w:rPr>
      </w:pPr>
    </w:p>
    <w:p w:rsidR="00614A46" w:rsidRPr="006364B5" w:rsidRDefault="00614A46" w:rsidP="00614A4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614A46" w:rsidRDefault="0016206D" w:rsidP="00614A46">
      <w:pPr>
        <w:tabs>
          <w:tab w:val="left" w:pos="-1440"/>
          <w:tab w:val="left" w:pos="-720"/>
        </w:tabs>
        <w:suppressAutoHyphens/>
        <w:rPr>
          <w:rFonts w:ascii="Bookman Old Style" w:hAnsi="Bookman Old Style"/>
          <w:szCs w:val="24"/>
        </w:rPr>
      </w:pPr>
    </w:p>
    <w:p w:rsidR="0016206D" w:rsidRPr="00614A46" w:rsidRDefault="0016206D"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 xml:space="preserve">Dated and </w:t>
      </w:r>
      <w:r w:rsidR="00A247DE" w:rsidRPr="00614A46">
        <w:rPr>
          <w:rFonts w:ascii="Bookman Old Style" w:hAnsi="Bookman Old Style"/>
          <w:szCs w:val="24"/>
        </w:rPr>
        <w:t>m</w:t>
      </w:r>
      <w:r w:rsidRPr="00614A46">
        <w:rPr>
          <w:rFonts w:ascii="Bookman Old Style" w:hAnsi="Bookman Old Style"/>
          <w:szCs w:val="24"/>
        </w:rPr>
        <w:t xml:space="preserve">ailed on </w:t>
      </w:r>
      <w:r w:rsidR="00941225">
        <w:rPr>
          <w:rFonts w:ascii="Bookman Old Style" w:hAnsi="Bookman Old Style"/>
          <w:szCs w:val="24"/>
        </w:rPr>
        <w:t>February 7, 2020</w:t>
      </w:r>
      <w:r w:rsidRPr="00614A46">
        <w:rPr>
          <w:rFonts w:ascii="Bookman Old Style" w:hAnsi="Bookman Old Style"/>
          <w:szCs w:val="24"/>
        </w:rPr>
        <w:t>.</w:t>
      </w:r>
    </w:p>
    <w:p w:rsidR="0016206D" w:rsidRPr="00614A46" w:rsidRDefault="0016206D" w:rsidP="00614A46">
      <w:pPr>
        <w:tabs>
          <w:tab w:val="left" w:pos="-1440"/>
          <w:tab w:val="left" w:pos="-720"/>
        </w:tabs>
        <w:suppressAutoHyphens/>
        <w:rPr>
          <w:rFonts w:ascii="Bookman Old Style" w:hAnsi="Bookman Old Style"/>
          <w:szCs w:val="24"/>
        </w:rPr>
      </w:pPr>
    </w:p>
    <w:p w:rsidR="0016206D" w:rsidRPr="00614A46" w:rsidRDefault="00246F0A"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t xml:space="preserve">       </w:t>
      </w:r>
    </w:p>
    <w:p w:rsidR="00892D44" w:rsidRPr="00614A46" w:rsidRDefault="00892D44" w:rsidP="00614A46">
      <w:pPr>
        <w:tabs>
          <w:tab w:val="left" w:pos="-1440"/>
          <w:tab w:val="left" w:pos="-720"/>
        </w:tabs>
        <w:suppressAutoHyphens/>
        <w:rPr>
          <w:rFonts w:ascii="Bookman Old Style" w:hAnsi="Bookman Old Style"/>
          <w:szCs w:val="24"/>
        </w:rPr>
      </w:pPr>
    </w:p>
    <w:p w:rsidR="00892D44" w:rsidRPr="00614A46" w:rsidRDefault="00892D44" w:rsidP="00614A46">
      <w:pPr>
        <w:tabs>
          <w:tab w:val="left" w:pos="-1440"/>
          <w:tab w:val="left" w:pos="-720"/>
        </w:tabs>
        <w:suppressAutoHyphens/>
        <w:rPr>
          <w:rFonts w:ascii="Bookman Old Style" w:hAnsi="Bookman Old Style"/>
          <w:szCs w:val="24"/>
        </w:rPr>
      </w:pPr>
    </w:p>
    <w:p w:rsidR="0016206D" w:rsidRPr="00614A46" w:rsidRDefault="0016206D"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00246F0A" w:rsidRPr="00614A46">
        <w:rPr>
          <w:rFonts w:ascii="Bookman Old Style" w:hAnsi="Bookman Old Style"/>
          <w:szCs w:val="24"/>
        </w:rPr>
        <w:t xml:space="preserve">  </w:t>
      </w:r>
      <w:r w:rsidR="007264A1" w:rsidRPr="00614A46">
        <w:rPr>
          <w:rFonts w:ascii="Bookman Old Style" w:hAnsi="Bookman Old Style"/>
          <w:szCs w:val="24"/>
        </w:rPr>
        <w:t xml:space="preserve">    </w:t>
      </w:r>
      <w:r w:rsidR="00941225">
        <w:rPr>
          <w:rFonts w:ascii="Bookman Old Style" w:hAnsi="Bookman Old Style"/>
          <w:szCs w:val="24"/>
        </w:rPr>
        <w:t>Rhonda Buness</w:t>
      </w:r>
      <w:r w:rsidR="00C841ED" w:rsidRPr="00614A46">
        <w:rPr>
          <w:rFonts w:ascii="Bookman Old Style" w:hAnsi="Bookman Old Style"/>
          <w:szCs w:val="24"/>
        </w:rPr>
        <w:t xml:space="preserve">, </w:t>
      </w:r>
      <w:r w:rsidR="0060404B">
        <w:rPr>
          <w:rFonts w:ascii="Bookman Old Style" w:hAnsi="Bookman Old Style"/>
          <w:szCs w:val="24"/>
        </w:rPr>
        <w:t>Appeals</w:t>
      </w:r>
      <w:r w:rsidRPr="00614A46">
        <w:rPr>
          <w:rFonts w:ascii="Bookman Old Style" w:hAnsi="Bookman Old Style"/>
          <w:szCs w:val="24"/>
        </w:rPr>
        <w:t xml:space="preserve"> Officer</w:t>
      </w:r>
    </w:p>
    <w:p w:rsidR="0016206D" w:rsidRPr="00614A46" w:rsidRDefault="0016206D" w:rsidP="00614A46">
      <w:pPr>
        <w:tabs>
          <w:tab w:val="left" w:pos="-1440"/>
          <w:tab w:val="left" w:pos="-720"/>
        </w:tabs>
        <w:suppressAutoHyphens/>
        <w:rPr>
          <w:rFonts w:ascii="Bookman Old Style" w:hAnsi="Bookman Old Style"/>
          <w:szCs w:val="24"/>
        </w:rPr>
      </w:pPr>
    </w:p>
    <w:sectPr w:rsidR="0016206D" w:rsidRPr="00614A46"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5B" w:rsidRDefault="00F6215B">
      <w:pPr>
        <w:widowControl/>
        <w:spacing w:line="20" w:lineRule="exact"/>
      </w:pPr>
    </w:p>
  </w:endnote>
  <w:endnote w:type="continuationSeparator" w:id="0">
    <w:p w:rsidR="00F6215B" w:rsidRDefault="00F6215B">
      <w:r>
        <w:t xml:space="preserve"> </w:t>
      </w:r>
    </w:p>
  </w:endnote>
  <w:endnote w:type="continuationNotice" w:id="1">
    <w:p w:rsidR="00F6215B" w:rsidRDefault="00F621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5B" w:rsidRDefault="00F6215B">
      <w:r>
        <w:separator/>
      </w:r>
    </w:p>
  </w:footnote>
  <w:footnote w:type="continuationSeparator" w:id="0">
    <w:p w:rsidR="00F6215B" w:rsidRDefault="00F6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780B48">
    <w:pPr>
      <w:pStyle w:val="Header"/>
      <w:rPr>
        <w:rFonts w:ascii="Bookman Old Style" w:hAnsi="Bookman Old Style"/>
      </w:rPr>
    </w:pPr>
    <w:r>
      <w:rPr>
        <w:rFonts w:ascii="Bookman Old Style" w:hAnsi="Bookman Old Style"/>
      </w:rPr>
      <w:t>Docket</w:t>
    </w:r>
    <w:r w:rsidR="00614A46">
      <w:rPr>
        <w:rFonts w:ascii="Bookman Old Style" w:hAnsi="Bookman Old Style"/>
      </w:rPr>
      <w:t xml:space="preserve"># </w:t>
    </w:r>
    <w:r w:rsidR="00B97808">
      <w:rPr>
        <w:rFonts w:ascii="Bookman Old Style" w:hAnsi="Bookman Old Style"/>
      </w:rPr>
      <w:t>20 0042</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740764">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B89"/>
    <w:multiLevelType w:val="singleLevel"/>
    <w:tmpl w:val="9EAEF604"/>
    <w:lvl w:ilvl="0">
      <w:start w:val="1"/>
      <w:numFmt w:val="decimal"/>
      <w:lvlText w:val="(%1)"/>
      <w:lvlJc w:val="left"/>
      <w:pPr>
        <w:tabs>
          <w:tab w:val="num" w:pos="2160"/>
        </w:tabs>
        <w:ind w:left="2160" w:hanging="720"/>
      </w:pPr>
    </w:lvl>
  </w:abstractNum>
  <w:abstractNum w:abstractNumId="1" w15:restartNumberingAfterBreak="0">
    <w:nsid w:val="0DE83026"/>
    <w:multiLevelType w:val="hybridMultilevel"/>
    <w:tmpl w:val="5CB8524A"/>
    <w:lvl w:ilvl="0" w:tplc="ACE69E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3" w15:restartNumberingAfterBreak="0">
    <w:nsid w:val="21C1167F"/>
    <w:multiLevelType w:val="hybridMultilevel"/>
    <w:tmpl w:val="A8FAEBCE"/>
    <w:lvl w:ilvl="0" w:tplc="33582B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E80A55"/>
    <w:multiLevelType w:val="singleLevel"/>
    <w:tmpl w:val="36EC7010"/>
    <w:lvl w:ilvl="0">
      <w:start w:val="5"/>
      <w:numFmt w:val="lowerLetter"/>
      <w:lvlText w:val="(%1)"/>
      <w:lvlJc w:val="left"/>
      <w:pPr>
        <w:tabs>
          <w:tab w:val="num" w:pos="1080"/>
        </w:tabs>
        <w:ind w:left="1080" w:hanging="360"/>
      </w:pPr>
      <w:rPr>
        <w:rFonts w:hint="default"/>
      </w:rPr>
    </w:lvl>
  </w:abstractNum>
  <w:abstractNum w:abstractNumId="5" w15:restartNumberingAfterBreak="0">
    <w:nsid w:val="32D562C7"/>
    <w:multiLevelType w:val="singleLevel"/>
    <w:tmpl w:val="F46A4B2A"/>
    <w:lvl w:ilvl="0">
      <w:start w:val="1"/>
      <w:numFmt w:val="decimal"/>
      <w:lvlText w:val="(%1)"/>
      <w:lvlJc w:val="left"/>
      <w:pPr>
        <w:tabs>
          <w:tab w:val="num" w:pos="2160"/>
        </w:tabs>
        <w:ind w:left="2160" w:hanging="720"/>
      </w:pPr>
      <w:rPr>
        <w:rFonts w:hint="default"/>
      </w:rPr>
    </w:lvl>
  </w:abstractNum>
  <w:abstractNum w:abstractNumId="6" w15:restartNumberingAfterBreak="0">
    <w:nsid w:val="341245E2"/>
    <w:multiLevelType w:val="hybridMultilevel"/>
    <w:tmpl w:val="DC4C13E6"/>
    <w:lvl w:ilvl="0" w:tplc="5358B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03A62"/>
    <w:multiLevelType w:val="singleLevel"/>
    <w:tmpl w:val="DFD4461E"/>
    <w:lvl w:ilvl="0">
      <w:start w:val="1"/>
      <w:numFmt w:val="upperLetter"/>
      <w:lvlText w:val="(%1)"/>
      <w:lvlJc w:val="left"/>
      <w:pPr>
        <w:tabs>
          <w:tab w:val="num" w:pos="2880"/>
        </w:tabs>
        <w:ind w:left="2880" w:hanging="720"/>
      </w:pPr>
      <w:rPr>
        <w:rFonts w:hint="default"/>
      </w:rPr>
    </w:lvl>
  </w:abstractNum>
  <w:abstractNum w:abstractNumId="8" w15:restartNumberingAfterBreak="0">
    <w:nsid w:val="4AA842DD"/>
    <w:multiLevelType w:val="singleLevel"/>
    <w:tmpl w:val="CABC0942"/>
    <w:lvl w:ilvl="0">
      <w:start w:val="3"/>
      <w:numFmt w:val="lowerLetter"/>
      <w:lvlText w:val="(%1)"/>
      <w:lvlJc w:val="left"/>
      <w:pPr>
        <w:tabs>
          <w:tab w:val="num" w:pos="1440"/>
        </w:tabs>
        <w:ind w:left="1440" w:hanging="720"/>
      </w:pPr>
    </w:lvl>
  </w:abstractNum>
  <w:abstractNum w:abstractNumId="9" w15:restartNumberingAfterBreak="0">
    <w:nsid w:val="4D0D20B6"/>
    <w:multiLevelType w:val="singleLevel"/>
    <w:tmpl w:val="F46A4B2A"/>
    <w:lvl w:ilvl="0">
      <w:start w:val="1"/>
      <w:numFmt w:val="decimal"/>
      <w:lvlText w:val="(%1)"/>
      <w:lvlJc w:val="left"/>
      <w:pPr>
        <w:tabs>
          <w:tab w:val="num" w:pos="2160"/>
        </w:tabs>
        <w:ind w:left="2160" w:hanging="720"/>
      </w:pPr>
      <w:rPr>
        <w:rFonts w:hint="default"/>
      </w:rPr>
    </w:lvl>
  </w:abstractNum>
  <w:abstractNum w:abstractNumId="10" w15:restartNumberingAfterBreak="0">
    <w:nsid w:val="52BB1B73"/>
    <w:multiLevelType w:val="hybridMultilevel"/>
    <w:tmpl w:val="37BE0386"/>
    <w:lvl w:ilvl="0" w:tplc="F6F00B7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E3491B"/>
    <w:multiLevelType w:val="singleLevel"/>
    <w:tmpl w:val="CB6C6800"/>
    <w:lvl w:ilvl="0">
      <w:start w:val="2"/>
      <w:numFmt w:val="lowerRoman"/>
      <w:lvlText w:val="(%1)"/>
      <w:lvlJc w:val="left"/>
      <w:pPr>
        <w:tabs>
          <w:tab w:val="num" w:pos="3600"/>
        </w:tabs>
        <w:ind w:left="3600" w:hanging="720"/>
      </w:pPr>
      <w:rPr>
        <w:rFonts w:hint="default"/>
      </w:rPr>
    </w:lvl>
  </w:abstractNum>
  <w:abstractNum w:abstractNumId="12" w15:restartNumberingAfterBreak="0">
    <w:nsid w:val="5BC97998"/>
    <w:multiLevelType w:val="hybridMultilevel"/>
    <w:tmpl w:val="7C34685C"/>
    <w:lvl w:ilvl="0" w:tplc="C6E86B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lvlOverride w:ilvl="0">
      <w:startOverride w:val="1"/>
    </w:lvlOverride>
  </w:num>
  <w:num w:numId="3">
    <w:abstractNumId w:val="3"/>
  </w:num>
  <w:num w:numId="4">
    <w:abstractNumId w:val="1"/>
  </w:num>
  <w:num w:numId="5">
    <w:abstractNumId w:val="12"/>
  </w:num>
  <w:num w:numId="6">
    <w:abstractNumId w:val="6"/>
  </w:num>
  <w:num w:numId="7">
    <w:abstractNumId w:val="11"/>
  </w:num>
  <w:num w:numId="8">
    <w:abstractNumId w:val="5"/>
  </w:num>
  <w:num w:numId="9">
    <w:abstractNumId w:val="7"/>
  </w:num>
  <w:num w:numId="10">
    <w:abstractNumId w:val="4"/>
  </w:num>
  <w:num w:numId="11">
    <w:abstractNumId w:val="9"/>
  </w:num>
  <w:num w:numId="12">
    <w:abstractNumId w:val="8"/>
    <w:lvlOverride w:ilvl="0">
      <w:startOverride w:val="3"/>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5B"/>
    <w:rsid w:val="00074ABC"/>
    <w:rsid w:val="000B1B0E"/>
    <w:rsid w:val="0015719B"/>
    <w:rsid w:val="0016206D"/>
    <w:rsid w:val="00171CFF"/>
    <w:rsid w:val="001772D5"/>
    <w:rsid w:val="00184E40"/>
    <w:rsid w:val="00246F0A"/>
    <w:rsid w:val="002628E5"/>
    <w:rsid w:val="002A2C00"/>
    <w:rsid w:val="003043FB"/>
    <w:rsid w:val="0037410D"/>
    <w:rsid w:val="00386730"/>
    <w:rsid w:val="003A08AE"/>
    <w:rsid w:val="004507E3"/>
    <w:rsid w:val="00561E52"/>
    <w:rsid w:val="005655DE"/>
    <w:rsid w:val="005840C2"/>
    <w:rsid w:val="005A25FF"/>
    <w:rsid w:val="005C58C3"/>
    <w:rsid w:val="005F35F2"/>
    <w:rsid w:val="0060404B"/>
    <w:rsid w:val="00614A46"/>
    <w:rsid w:val="007264A1"/>
    <w:rsid w:val="00740764"/>
    <w:rsid w:val="00780B48"/>
    <w:rsid w:val="007D2BEE"/>
    <w:rsid w:val="007E43C3"/>
    <w:rsid w:val="00820E83"/>
    <w:rsid w:val="00892A69"/>
    <w:rsid w:val="00892D44"/>
    <w:rsid w:val="008B0F2C"/>
    <w:rsid w:val="008C6C34"/>
    <w:rsid w:val="00907F80"/>
    <w:rsid w:val="00930ED5"/>
    <w:rsid w:val="00941225"/>
    <w:rsid w:val="009E28F4"/>
    <w:rsid w:val="009F62FC"/>
    <w:rsid w:val="00A02C85"/>
    <w:rsid w:val="00A247DE"/>
    <w:rsid w:val="00A924DA"/>
    <w:rsid w:val="00A94C46"/>
    <w:rsid w:val="00B0198D"/>
    <w:rsid w:val="00B47DFF"/>
    <w:rsid w:val="00B97808"/>
    <w:rsid w:val="00C22610"/>
    <w:rsid w:val="00C70C6C"/>
    <w:rsid w:val="00C841ED"/>
    <w:rsid w:val="00D1304C"/>
    <w:rsid w:val="00D52E80"/>
    <w:rsid w:val="00D83A7C"/>
    <w:rsid w:val="00DB16E0"/>
    <w:rsid w:val="00E1431E"/>
    <w:rsid w:val="00E20135"/>
    <w:rsid w:val="00F36FB9"/>
    <w:rsid w:val="00F52904"/>
    <w:rsid w:val="00F6215B"/>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ABE75"/>
  <w15:chartTrackingRefBased/>
  <w15:docId w15:val="{53F803DC-F3B4-4041-AC48-CC723226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F35F2"/>
    <w:pPr>
      <w:ind w:left="720"/>
    </w:pPr>
  </w:style>
  <w:style w:type="paragraph" w:customStyle="1" w:styleId="Default">
    <w:name w:val="Default"/>
    <w:rsid w:val="005F35F2"/>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5F35F2"/>
    <w:rPr>
      <w:b/>
      <w:bCs/>
    </w:rPr>
  </w:style>
  <w:style w:type="paragraph" w:styleId="BodyTextIndent2">
    <w:name w:val="Body Text Indent 2"/>
    <w:basedOn w:val="Normal"/>
    <w:link w:val="BodyTextIndent2Char"/>
    <w:rsid w:val="005F35F2"/>
    <w:pPr>
      <w:widowControl/>
      <w:tabs>
        <w:tab w:val="left" w:pos="1440"/>
      </w:tabs>
      <w:suppressAutoHyphens/>
      <w:ind w:left="1440" w:hanging="720"/>
    </w:pPr>
    <w:rPr>
      <w:rFonts w:ascii="Arial" w:hAnsi="Arial"/>
      <w:spacing w:val="-3"/>
    </w:rPr>
  </w:style>
  <w:style w:type="character" w:customStyle="1" w:styleId="BodyTextIndent2Char">
    <w:name w:val="Body Text Indent 2 Char"/>
    <w:link w:val="BodyTextIndent2"/>
    <w:rsid w:val="005F35F2"/>
    <w:rPr>
      <w:rFonts w:ascii="Arial" w:hAnsi="Arial"/>
      <w:snapToGrid w:val="0"/>
      <w:spacing w:val="-3"/>
      <w:sz w:val="24"/>
    </w:rPr>
  </w:style>
  <w:style w:type="paragraph" w:styleId="BodyTextIndent3">
    <w:name w:val="Body Text Indent 3"/>
    <w:basedOn w:val="Normal"/>
    <w:link w:val="BodyTextIndent3Char"/>
    <w:rsid w:val="005F35F2"/>
    <w:pPr>
      <w:widowControl/>
      <w:tabs>
        <w:tab w:val="left" w:pos="2160"/>
      </w:tabs>
      <w:suppressAutoHyphens/>
      <w:ind w:left="2160" w:hanging="720"/>
    </w:pPr>
    <w:rPr>
      <w:rFonts w:ascii="Arial" w:hAnsi="Arial"/>
      <w:spacing w:val="-3"/>
    </w:rPr>
  </w:style>
  <w:style w:type="character" w:customStyle="1" w:styleId="BodyTextIndent3Char">
    <w:name w:val="Body Text Indent 3 Char"/>
    <w:link w:val="BodyTextIndent3"/>
    <w:rsid w:val="005F35F2"/>
    <w:rPr>
      <w:rFonts w:ascii="Arial" w:hAnsi="Arial"/>
      <w:snapToGrid w:val="0"/>
      <w:spacing w:val="-3"/>
      <w:sz w:val="24"/>
    </w:rPr>
  </w:style>
  <w:style w:type="paragraph" w:styleId="BalloonText">
    <w:name w:val="Balloon Text"/>
    <w:basedOn w:val="Normal"/>
    <w:link w:val="BalloonTextChar"/>
    <w:uiPriority w:val="99"/>
    <w:semiHidden/>
    <w:unhideWhenUsed/>
    <w:rsid w:val="007D2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E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69888">
      <w:bodyDiv w:val="1"/>
      <w:marLeft w:val="0"/>
      <w:marRight w:val="0"/>
      <w:marTop w:val="0"/>
      <w:marBottom w:val="0"/>
      <w:divBdr>
        <w:top w:val="none" w:sz="0" w:space="0" w:color="auto"/>
        <w:left w:val="none" w:sz="0" w:space="0" w:color="auto"/>
        <w:bottom w:val="none" w:sz="0" w:space="0" w:color="auto"/>
        <w:right w:val="none" w:sz="0" w:space="0" w:color="auto"/>
      </w:divBdr>
    </w:div>
    <w:div w:id="567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7%20-%20Felony%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17 - Felony Misconduct</Template>
  <TotalTime>0</TotalTime>
  <Pages>5</Pages>
  <Words>1714</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2020-02-07T23:47:00Z</cp:lastPrinted>
  <dcterms:created xsi:type="dcterms:W3CDTF">2020-02-07T23:47:00Z</dcterms:created>
  <dcterms:modified xsi:type="dcterms:W3CDTF">2020-02-07T23:47:00Z</dcterms:modified>
</cp:coreProperties>
</file>