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A110E3">
        <w:rPr>
          <w:rFonts w:ascii="Bookman Old Style" w:hAnsi="Bookman Old Style"/>
        </w:rPr>
        <w:t>20 0117</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A110E3">
        <w:rPr>
          <w:rFonts w:ascii="Bookman Old Style" w:hAnsi="Bookman Old Style"/>
        </w:rPr>
        <w:t>February 24, 2020</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A110E3">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TEDDY MARTIN</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761BE6" w:rsidRDefault="00761BE6">
      <w:pPr>
        <w:widowControl/>
        <w:tabs>
          <w:tab w:val="left" w:pos="-1440"/>
          <w:tab w:val="left" w:pos="-720"/>
          <w:tab w:val="left" w:pos="0"/>
          <w:tab w:val="left" w:pos="5760"/>
        </w:tabs>
        <w:suppressAutoHyphens/>
        <w:ind w:right="-360"/>
        <w:rPr>
          <w:rFonts w:ascii="Bookman Old Style" w:hAnsi="Bookman Old Style"/>
        </w:rPr>
      </w:pPr>
    </w:p>
    <w:p w:rsidR="00761BE6" w:rsidRDefault="00761BE6">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A110E3">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Teddy Martin</w:t>
      </w:r>
      <w:r w:rsidR="005A281D" w:rsidRPr="00774034">
        <w:rPr>
          <w:rFonts w:ascii="Bookman Old Style" w:hAnsi="Bookman Old Style"/>
        </w:rPr>
        <w:tab/>
        <w:t>None</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0A55A5" w:rsidRPr="00774034" w:rsidRDefault="000A55A5">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A110E3">
        <w:rPr>
          <w:rFonts w:ascii="Bookman Old Style" w:hAnsi="Bookman Old Style"/>
          <w:szCs w:val="24"/>
        </w:rPr>
        <w:t>February 10, 2020</w:t>
      </w:r>
      <w:r w:rsidRPr="008F7CCB">
        <w:rPr>
          <w:rFonts w:ascii="Bookman Old Style" w:hAnsi="Bookman Old Style"/>
          <w:szCs w:val="24"/>
        </w:rPr>
        <w:t xml:space="preserve"> </w:t>
      </w:r>
      <w:r w:rsidR="00A110E3">
        <w:rPr>
          <w:rFonts w:ascii="Bookman Old Style" w:hAnsi="Bookman Old Style"/>
          <w:szCs w:val="24"/>
        </w:rPr>
        <w:t>re</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Default="00C849DC">
      <w:pPr>
        <w:tabs>
          <w:tab w:val="left" w:pos="-1440"/>
          <w:tab w:val="left" w:pos="-720"/>
        </w:tabs>
        <w:rPr>
          <w:rFonts w:ascii="Bookman Old Style" w:hAnsi="Bookman Old Style"/>
        </w:rPr>
      </w:pPr>
    </w:p>
    <w:p w:rsidR="000A55A5" w:rsidRPr="00774034" w:rsidRDefault="000A55A5">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A110E3">
        <w:rPr>
          <w:rFonts w:ascii="Bookman Old Style" w:hAnsi="Bookman Old Style"/>
          <w:szCs w:val="24"/>
        </w:rPr>
        <w:t>November 3, 2019</w:t>
      </w:r>
      <w:r w:rsidRPr="008F7CCB">
        <w:rPr>
          <w:rFonts w:ascii="Bookman Old Style" w:hAnsi="Bookman Old Style"/>
          <w:szCs w:val="24"/>
        </w:rPr>
        <w:t xml:space="preserve">. </w:t>
      </w:r>
      <w:r w:rsidR="000805BB">
        <w:rPr>
          <w:rFonts w:ascii="Bookman Old Style" w:hAnsi="Bookman Old Style"/>
          <w:szCs w:val="24"/>
        </w:rPr>
        <w:t xml:space="preserve">On </w:t>
      </w:r>
      <w:r w:rsidR="00A110E3">
        <w:rPr>
          <w:rFonts w:ascii="Bookman Old Style" w:hAnsi="Bookman Old Style"/>
          <w:szCs w:val="24"/>
        </w:rPr>
        <w:t>January 3, 2020</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A110E3">
        <w:rPr>
          <w:rFonts w:ascii="Bookman Old Style" w:hAnsi="Bookman Old Style"/>
          <w:szCs w:val="24"/>
        </w:rPr>
        <w:t>he</w:t>
      </w:r>
      <w:r w:rsidR="000805BB">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A110E3">
        <w:rPr>
          <w:rFonts w:ascii="Bookman Old Style" w:hAnsi="Bookman Old Style"/>
          <w:szCs w:val="24"/>
        </w:rPr>
        <w:t>January 24, 2020</w:t>
      </w:r>
      <w:r w:rsidR="000805BB">
        <w:rPr>
          <w:rFonts w:ascii="Bookman Old Style" w:hAnsi="Bookman Old Style"/>
          <w:szCs w:val="24"/>
        </w:rPr>
        <w:t xml:space="preserve">, or benefits would be denied.  </w:t>
      </w:r>
    </w:p>
    <w:p w:rsidR="00A110E3" w:rsidRDefault="00A110E3" w:rsidP="000805BB">
      <w:pPr>
        <w:tabs>
          <w:tab w:val="left" w:pos="-1440"/>
          <w:tab w:val="left" w:pos="-720"/>
        </w:tabs>
        <w:rPr>
          <w:rFonts w:ascii="Bookman Old Style" w:hAnsi="Bookman Old Style"/>
          <w:szCs w:val="24"/>
        </w:rPr>
      </w:pPr>
    </w:p>
    <w:p w:rsidR="00A110E3" w:rsidRDefault="000A55A5" w:rsidP="000805BB">
      <w:pPr>
        <w:tabs>
          <w:tab w:val="left" w:pos="-1440"/>
          <w:tab w:val="left" w:pos="-720"/>
        </w:tabs>
        <w:rPr>
          <w:rFonts w:ascii="Bookman Old Style" w:hAnsi="Bookman Old Style"/>
          <w:szCs w:val="24"/>
        </w:rPr>
      </w:pPr>
      <w:r>
        <w:rPr>
          <w:rFonts w:ascii="Bookman Old Style" w:hAnsi="Bookman Old Style"/>
          <w:szCs w:val="24"/>
        </w:rPr>
        <w:t xml:space="preserve">The claimant did not recall receiving the notice of the requirement to complete the reemployment and eligibility assessment interview. He was separated from his spouse and </w:t>
      </w:r>
      <w:r w:rsidR="00CF5A47">
        <w:rPr>
          <w:rFonts w:ascii="Bookman Old Style" w:hAnsi="Bookman Old Style"/>
          <w:szCs w:val="24"/>
        </w:rPr>
        <w:t>ordered by the</w:t>
      </w:r>
      <w:r>
        <w:rPr>
          <w:rFonts w:ascii="Bookman Old Style" w:hAnsi="Bookman Old Style"/>
          <w:szCs w:val="24"/>
        </w:rPr>
        <w:t xml:space="preserve"> court not to go to the house they had shared. He did not get his address changed with the Division. He did not collect his mail for several weeks. He has since worked out getting his mail by meeting his </w:t>
      </w:r>
      <w:r w:rsidR="00CF5A47">
        <w:rPr>
          <w:rFonts w:ascii="Bookman Old Style" w:hAnsi="Bookman Old Style"/>
          <w:szCs w:val="24"/>
        </w:rPr>
        <w:t xml:space="preserve">estranged </w:t>
      </w:r>
      <w:r>
        <w:rPr>
          <w:rFonts w:ascii="Bookman Old Style" w:hAnsi="Bookman Old Style"/>
          <w:szCs w:val="24"/>
        </w:rPr>
        <w:t>wife at another location.</w:t>
      </w:r>
    </w:p>
    <w:p w:rsidR="000A55A5" w:rsidRDefault="000A55A5" w:rsidP="000805BB">
      <w:pPr>
        <w:tabs>
          <w:tab w:val="left" w:pos="-1440"/>
          <w:tab w:val="left" w:pos="-720"/>
        </w:tabs>
        <w:rPr>
          <w:rFonts w:ascii="Bookman Old Style" w:hAnsi="Bookman Old Style"/>
          <w:szCs w:val="24"/>
        </w:rPr>
      </w:pPr>
    </w:p>
    <w:p w:rsidR="000A55A5" w:rsidRDefault="000A55A5" w:rsidP="000805BB">
      <w:pPr>
        <w:tabs>
          <w:tab w:val="left" w:pos="-1440"/>
          <w:tab w:val="left" w:pos="-720"/>
        </w:tabs>
        <w:rPr>
          <w:rFonts w:ascii="Bookman Old Style" w:hAnsi="Bookman Old Style"/>
          <w:szCs w:val="24"/>
        </w:rPr>
      </w:pPr>
      <w:r>
        <w:rPr>
          <w:rFonts w:ascii="Bookman Old Style" w:hAnsi="Bookman Old Style"/>
          <w:szCs w:val="24"/>
        </w:rPr>
        <w:lastRenderedPageBreak/>
        <w:t>The claimant did not receive benefits after filing claim certifications for weeks ending January 25, 2020 and February 1, 2020. He contacted the Division concerning his failure to receive benefits. A representative advised him that he had been denied benefits because he had not completed the reemployment and eligibility assessment interview as required by January 24, 2020. He immediately went to the local job service and completed the reemployment and eligibility assessment interview on February 5, 2020.</w:t>
      </w:r>
    </w:p>
    <w:p w:rsidR="00E9529D" w:rsidRPr="008F7CCB" w:rsidRDefault="00E9529D" w:rsidP="00E9529D">
      <w:pPr>
        <w:tabs>
          <w:tab w:val="left" w:pos="-1440"/>
          <w:tab w:val="left" w:pos="-720"/>
        </w:tabs>
        <w:rPr>
          <w:rFonts w:ascii="Bookman Old Style" w:hAnsi="Bookman Old Style"/>
          <w:szCs w:val="24"/>
        </w:rPr>
      </w:pP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Pr="00322A0F"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w:t>
      </w:r>
      <w:r w:rsidRPr="00322A0F">
        <w:rPr>
          <w:rFonts w:ascii="Bookman Old Style" w:hAnsi="Bookman Old Style"/>
          <w:szCs w:val="24"/>
        </w:rPr>
        <w:lastRenderedPageBreak/>
        <w:t xml:space="preserve">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 xml:space="preserve">Regulation 8 AAC 85.357, above, holds that a claimant is not available for work in any week in which the claimant fails to participate in reemployment services, </w:t>
      </w:r>
      <w:r w:rsidRPr="00322A0F">
        <w:rPr>
          <w:rFonts w:ascii="Bookman Old Style" w:hAnsi="Bookman Old Style"/>
          <w:snapToGrid/>
          <w:szCs w:val="24"/>
        </w:rPr>
        <w:lastRenderedPageBreak/>
        <w:t>unless the failure to participate is caused by circumstances beyond the claimant’s control.</w:t>
      </w:r>
    </w:p>
    <w:p w:rsidR="000805BB" w:rsidRDefault="000805BB" w:rsidP="000805BB">
      <w:pPr>
        <w:widowControl/>
        <w:rPr>
          <w:rFonts w:ascii="Bookman Old Style" w:hAnsi="Bookman Old Style"/>
          <w:snapToGrid/>
          <w:szCs w:val="24"/>
        </w:rPr>
      </w:pPr>
    </w:p>
    <w:p w:rsidR="00E43597" w:rsidRDefault="00E43597" w:rsidP="00E43597">
      <w:pPr>
        <w:rPr>
          <w:rFonts w:ascii="Bookman Old Style" w:hAnsi="Bookman Old Style"/>
          <w:spacing w:val="-3"/>
        </w:rPr>
      </w:pPr>
      <w:r w:rsidRPr="0020328A">
        <w:rPr>
          <w:rFonts w:ascii="Bookman Old Style" w:hAnsi="Bookman Old Style"/>
          <w:i/>
          <w:spacing w:val="-3"/>
        </w:rPr>
        <w:t xml:space="preserve">The failure of a party's agent or employee to act is not such a circumstance [to grant reopening]. </w:t>
      </w:r>
      <w:r w:rsidRPr="00E43597">
        <w:rPr>
          <w:rFonts w:ascii="Bookman Old Style" w:hAnsi="Bookman Old Style"/>
          <w:spacing w:val="-3"/>
          <w:u w:val="single"/>
        </w:rPr>
        <w:t>Anderson</w:t>
      </w:r>
      <w:r w:rsidRPr="00E43597">
        <w:rPr>
          <w:rFonts w:ascii="Bookman Old Style" w:hAnsi="Bookman Old Style"/>
          <w:spacing w:val="-3"/>
        </w:rPr>
        <w:t>, Comm. Dec. 84H-UI-186, July 20, 1984.</w:t>
      </w:r>
    </w:p>
    <w:p w:rsidR="00E43597" w:rsidRDefault="00E43597" w:rsidP="00E43597">
      <w:pPr>
        <w:rPr>
          <w:rFonts w:ascii="Bookman Old Style" w:hAnsi="Bookman Old Style"/>
          <w:spacing w:val="-3"/>
        </w:rPr>
      </w:pPr>
    </w:p>
    <w:p w:rsidR="00E43597" w:rsidRDefault="00E43597" w:rsidP="00E43597">
      <w:pPr>
        <w:rPr>
          <w:rFonts w:ascii="Bookman Old Style" w:hAnsi="Bookman Old Style"/>
          <w:spacing w:val="-3"/>
        </w:rPr>
      </w:pPr>
      <w:r>
        <w:rPr>
          <w:rFonts w:ascii="Bookman Old Style" w:hAnsi="Bookman Old Style"/>
          <w:spacing w:val="-3"/>
        </w:rPr>
        <w:t>The claimant made is spouse his agent when he failed to change his address with the Division after being separated from her and ordered by the court not to go to the house they had shared. It is unfortunate that the spouse did not give the claimant his mail.</w:t>
      </w:r>
    </w:p>
    <w:p w:rsidR="00E43597" w:rsidRDefault="00E43597" w:rsidP="00E43597">
      <w:pPr>
        <w:rPr>
          <w:rFonts w:ascii="Bookman Old Style" w:hAnsi="Bookman Old Style"/>
          <w:spacing w:val="-3"/>
        </w:rPr>
      </w:pPr>
    </w:p>
    <w:p w:rsidR="00E43597" w:rsidRPr="00E43597" w:rsidRDefault="00E43597" w:rsidP="00E43597">
      <w:pPr>
        <w:rPr>
          <w:rFonts w:ascii="Bookman Old Style" w:hAnsi="Bookman Old Style"/>
          <w:spacing w:val="-3"/>
        </w:rPr>
      </w:pPr>
      <w:r>
        <w:rPr>
          <w:rFonts w:ascii="Bookman Old Style" w:hAnsi="Bookman Old Style"/>
          <w:spacing w:val="-3"/>
        </w:rPr>
        <w:t xml:space="preserve">As in </w:t>
      </w:r>
      <w:r w:rsidRPr="00E43597">
        <w:rPr>
          <w:rFonts w:ascii="Bookman Old Style" w:hAnsi="Bookman Old Style"/>
          <w:spacing w:val="-3"/>
          <w:u w:val="single"/>
        </w:rPr>
        <w:t>Anderson</w:t>
      </w:r>
      <w:r>
        <w:rPr>
          <w:rFonts w:ascii="Bookman Old Style" w:hAnsi="Bookman Old Style"/>
          <w:spacing w:val="-3"/>
        </w:rPr>
        <w:t>, the failure of a party’s agent is not a circumstance beyond his control. Because the claimant has not shown a circumstance beyond his control prevented his completion of the assessment interview, benefits cannot be allowed.</w:t>
      </w:r>
    </w:p>
    <w:p w:rsidR="000805BB" w:rsidRPr="00E43597" w:rsidRDefault="000805BB" w:rsidP="000805BB">
      <w:pPr>
        <w:widowControl/>
        <w:rPr>
          <w:rFonts w:ascii="Bookman Old Style" w:hAnsi="Bookman Old Style"/>
          <w:snapToGrid/>
          <w:szCs w:val="24"/>
        </w:rPr>
      </w:pPr>
    </w:p>
    <w:p w:rsidR="000805BB" w:rsidRPr="00322A0F" w:rsidRDefault="000805BB" w:rsidP="000805BB">
      <w:pPr>
        <w:widowControl/>
        <w:rPr>
          <w:rFonts w:ascii="Bookman Old Style" w:hAnsi="Bookman Old Style"/>
          <w:snapToGrid/>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E43597">
        <w:rPr>
          <w:rFonts w:ascii="Bookman Old Style" w:hAnsi="Bookman Old Style"/>
          <w:szCs w:val="24"/>
        </w:rPr>
        <w:t>February 10, 2020</w:t>
      </w:r>
      <w:r w:rsidRPr="00E663B4">
        <w:rPr>
          <w:rFonts w:ascii="Bookman Old Style" w:hAnsi="Bookman Old Style"/>
          <w:szCs w:val="24"/>
        </w:rPr>
        <w:t xml:space="preserve"> is </w:t>
      </w:r>
      <w:r w:rsidR="00E43597">
        <w:rPr>
          <w:rFonts w:ascii="Bookman Old Style" w:hAnsi="Bookman Old Style"/>
          <w:b/>
          <w:szCs w:val="24"/>
        </w:rPr>
        <w:t>AFFIRMED</w:t>
      </w:r>
      <w:r w:rsidRPr="00E663B4">
        <w:rPr>
          <w:rFonts w:ascii="Bookman Old Style" w:hAnsi="Bookman Old Style"/>
          <w:szCs w:val="24"/>
        </w:rPr>
        <w:t xml:space="preserve">. Benefits are </w:t>
      </w:r>
      <w:r w:rsidR="00E43597" w:rsidRPr="00E43597">
        <w:rPr>
          <w:rFonts w:ascii="Bookman Old Style" w:hAnsi="Bookman Old Style"/>
          <w:szCs w:val="24"/>
        </w:rPr>
        <w:t>denied</w:t>
      </w:r>
      <w:r w:rsidRPr="00E663B4">
        <w:rPr>
          <w:rFonts w:ascii="Bookman Old Style" w:hAnsi="Bookman Old Style"/>
          <w:szCs w:val="24"/>
        </w:rPr>
        <w:t xml:space="preserve"> for the weeks ending </w:t>
      </w:r>
      <w:r w:rsidR="00E43597">
        <w:rPr>
          <w:rFonts w:ascii="Bookman Old Style" w:hAnsi="Bookman Old Style"/>
          <w:szCs w:val="24"/>
        </w:rPr>
        <w:t>January 25, 2020 and February 1, 2020</w:t>
      </w:r>
      <w:r w:rsidRPr="00E663B4">
        <w:rPr>
          <w:rFonts w:ascii="Bookman Old Style" w:hAnsi="Bookman Old Style"/>
          <w:szCs w:val="24"/>
        </w:rPr>
        <w:t>.</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E43597">
        <w:rPr>
          <w:rFonts w:ascii="Bookman Old Style" w:hAnsi="Bookman Old Style"/>
        </w:rPr>
        <w:t>February 25, 2020</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9D3" w:rsidRDefault="00CE59D3">
      <w:pPr>
        <w:widowControl/>
        <w:spacing w:line="20" w:lineRule="exact"/>
      </w:pPr>
    </w:p>
  </w:endnote>
  <w:endnote w:type="continuationSeparator" w:id="0">
    <w:p w:rsidR="00CE59D3" w:rsidRDefault="00CE59D3">
      <w:r>
        <w:t xml:space="preserve"> </w:t>
      </w:r>
    </w:p>
  </w:endnote>
  <w:endnote w:type="continuationNotice" w:id="1">
    <w:p w:rsidR="00CE59D3" w:rsidRDefault="00CE59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9D3" w:rsidRDefault="00CE59D3">
      <w:r>
        <w:separator/>
      </w:r>
    </w:p>
  </w:footnote>
  <w:footnote w:type="continuationSeparator" w:id="0">
    <w:p w:rsidR="00CE59D3" w:rsidRDefault="00CE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0A55A5" w:rsidP="0093110E">
    <w:pPr>
      <w:pStyle w:val="Header"/>
      <w:rPr>
        <w:rFonts w:ascii="Bookman Old Style" w:hAnsi="Bookman Old Style"/>
        <w:sz w:val="22"/>
      </w:rPr>
    </w:pPr>
    <w:r>
      <w:rPr>
        <w:rFonts w:ascii="Bookman Old Style" w:hAnsi="Bookman Old Style"/>
        <w:sz w:val="22"/>
      </w:rPr>
      <w:t>DK# 20 0117</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761BE6">
      <w:rPr>
        <w:rStyle w:val="PageNumber"/>
        <w:rFonts w:ascii="Bookman Old Style" w:hAnsi="Bookman Old Style"/>
        <w:noProof/>
      </w:rPr>
      <w:t>3</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805BB"/>
    <w:rsid w:val="000A55A5"/>
    <w:rsid w:val="000D3B41"/>
    <w:rsid w:val="000F5712"/>
    <w:rsid w:val="0011613D"/>
    <w:rsid w:val="00121B67"/>
    <w:rsid w:val="00122F05"/>
    <w:rsid w:val="00180CAD"/>
    <w:rsid w:val="001841BB"/>
    <w:rsid w:val="00224A22"/>
    <w:rsid w:val="002350C0"/>
    <w:rsid w:val="00282D09"/>
    <w:rsid w:val="002A3C37"/>
    <w:rsid w:val="002C42D3"/>
    <w:rsid w:val="002D5A94"/>
    <w:rsid w:val="0031715E"/>
    <w:rsid w:val="003608EE"/>
    <w:rsid w:val="00382877"/>
    <w:rsid w:val="003B647D"/>
    <w:rsid w:val="004036B5"/>
    <w:rsid w:val="00445311"/>
    <w:rsid w:val="004758FD"/>
    <w:rsid w:val="004B0A1E"/>
    <w:rsid w:val="004C02D8"/>
    <w:rsid w:val="005043BD"/>
    <w:rsid w:val="005A281D"/>
    <w:rsid w:val="005B132A"/>
    <w:rsid w:val="005F6DC8"/>
    <w:rsid w:val="006827FC"/>
    <w:rsid w:val="0069638B"/>
    <w:rsid w:val="006F3750"/>
    <w:rsid w:val="00727627"/>
    <w:rsid w:val="0076154C"/>
    <w:rsid w:val="00761BE6"/>
    <w:rsid w:val="00774034"/>
    <w:rsid w:val="00837992"/>
    <w:rsid w:val="008B1CA2"/>
    <w:rsid w:val="0093110E"/>
    <w:rsid w:val="009420FE"/>
    <w:rsid w:val="00982189"/>
    <w:rsid w:val="00A110E3"/>
    <w:rsid w:val="00AB1E6B"/>
    <w:rsid w:val="00AE2E16"/>
    <w:rsid w:val="00AE32DF"/>
    <w:rsid w:val="00B34FDA"/>
    <w:rsid w:val="00B43251"/>
    <w:rsid w:val="00B4505E"/>
    <w:rsid w:val="00B554BF"/>
    <w:rsid w:val="00B60F65"/>
    <w:rsid w:val="00C239F0"/>
    <w:rsid w:val="00C47467"/>
    <w:rsid w:val="00C849DC"/>
    <w:rsid w:val="00CC29E5"/>
    <w:rsid w:val="00CD5DD8"/>
    <w:rsid w:val="00CE59D3"/>
    <w:rsid w:val="00CF1C75"/>
    <w:rsid w:val="00CF5A47"/>
    <w:rsid w:val="00D025D4"/>
    <w:rsid w:val="00D829CE"/>
    <w:rsid w:val="00DD54FF"/>
    <w:rsid w:val="00E10768"/>
    <w:rsid w:val="00E35392"/>
    <w:rsid w:val="00E43597"/>
    <w:rsid w:val="00E46EEA"/>
    <w:rsid w:val="00E9529D"/>
    <w:rsid w:val="00EB2485"/>
    <w:rsid w:val="00EC3E1C"/>
    <w:rsid w:val="00F72170"/>
    <w:rsid w:val="00FE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A669B"/>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 w:type="paragraph" w:styleId="BalloonText">
    <w:name w:val="Balloon Text"/>
    <w:basedOn w:val="Normal"/>
    <w:link w:val="BalloonTextChar"/>
    <w:uiPriority w:val="99"/>
    <w:semiHidden/>
    <w:unhideWhenUsed/>
    <w:rsid w:val="00E43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59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92C7-BEDC-42DE-B317-C9C787F4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29</TotalTime>
  <Pages>1</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7798</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10</cp:revision>
  <cp:lastPrinted>2020-02-25T00:53:00Z</cp:lastPrinted>
  <dcterms:created xsi:type="dcterms:W3CDTF">2020-02-24T17:52:00Z</dcterms:created>
  <dcterms:modified xsi:type="dcterms:W3CDTF">2020-02-25T00:56:00Z</dcterms:modified>
</cp:coreProperties>
</file>