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E9D" w:rsidRPr="00D82DF6" w:rsidRDefault="00100FBF" w:rsidP="00D82DF6">
      <w:pPr>
        <w:widowControl/>
        <w:tabs>
          <w:tab w:val="center" w:pos="4680"/>
        </w:tabs>
        <w:suppressAutoHyphens/>
        <w:jc w:val="center"/>
        <w:rPr>
          <w:rFonts w:ascii="Bookman Old Style" w:hAnsi="Bookman Old Style"/>
          <w:b/>
          <w:szCs w:val="24"/>
        </w:rPr>
      </w:pPr>
      <w:r w:rsidRPr="00D82DF6">
        <w:rPr>
          <w:rFonts w:ascii="Bookman Old Style" w:hAnsi="Bookman Old Style"/>
          <w:noProof/>
          <w:szCs w:val="24"/>
        </w:rPr>
        <w:drawing>
          <wp:anchor distT="0" distB="0" distL="114300" distR="114300" simplePos="0" relativeHeight="251657728" behindDoc="1" locked="0" layoutInCell="1" allowOverlap="1">
            <wp:simplePos x="0" y="0"/>
            <wp:positionH relativeFrom="column">
              <wp:posOffset>-744220</wp:posOffset>
            </wp:positionH>
            <wp:positionV relativeFrom="paragraph">
              <wp:posOffset>-266065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pStyle w:val="Heading3"/>
        <w:widowControl/>
        <w:tabs>
          <w:tab w:val="center" w:pos="4680"/>
        </w:tabs>
        <w:suppressAutoHyphens/>
        <w:rPr>
          <w:rFonts w:ascii="Bookman Old Style" w:hAnsi="Bookman Old Style"/>
          <w:szCs w:val="24"/>
        </w:rPr>
      </w:pPr>
    </w:p>
    <w:p w:rsidR="00EB0E9D" w:rsidRPr="00D82DF6" w:rsidRDefault="00EB0E9D" w:rsidP="00D82DF6">
      <w:pPr>
        <w:widowControl/>
        <w:tabs>
          <w:tab w:val="left" w:pos="-720"/>
        </w:tabs>
        <w:suppressAutoHyphens/>
        <w:rPr>
          <w:rFonts w:ascii="Bookman Old Style" w:hAnsi="Bookman Old Style"/>
          <w:szCs w:val="24"/>
        </w:rPr>
      </w:pPr>
    </w:p>
    <w:p w:rsidR="005A281D" w:rsidRPr="00D82DF6" w:rsidRDefault="005A281D" w:rsidP="00D82DF6">
      <w:pPr>
        <w:pStyle w:val="Heading3"/>
        <w:widowControl/>
        <w:tabs>
          <w:tab w:val="center" w:pos="4680"/>
        </w:tabs>
        <w:suppressAutoHyphens/>
        <w:rPr>
          <w:rFonts w:ascii="Bookman Old Style" w:hAnsi="Bookman Old Style"/>
          <w:szCs w:val="24"/>
        </w:rPr>
      </w:pPr>
      <w:r w:rsidRPr="00D82DF6">
        <w:rPr>
          <w:rFonts w:ascii="Bookman Old Style" w:hAnsi="Bookman Old Style"/>
          <w:szCs w:val="24"/>
        </w:rPr>
        <w:t>APPEAL TRIBUNAL DECISION</w:t>
      </w:r>
    </w:p>
    <w:p w:rsidR="005A281D" w:rsidRPr="00D82DF6" w:rsidRDefault="005A281D" w:rsidP="00D82DF6">
      <w:pPr>
        <w:widowControl/>
        <w:tabs>
          <w:tab w:val="left" w:pos="-720"/>
        </w:tabs>
        <w:suppressAutoHyphens/>
        <w:rPr>
          <w:rFonts w:ascii="Bookman Old Style" w:hAnsi="Bookman Old Style"/>
          <w:szCs w:val="24"/>
        </w:rPr>
      </w:pPr>
    </w:p>
    <w:p w:rsidR="00441439" w:rsidRPr="00D82DF6" w:rsidRDefault="00193EB9" w:rsidP="00D82DF6">
      <w:pPr>
        <w:widowControl/>
        <w:tabs>
          <w:tab w:val="center" w:pos="4680"/>
        </w:tabs>
        <w:suppressAutoHyphens/>
        <w:jc w:val="center"/>
        <w:outlineLvl w:val="0"/>
        <w:rPr>
          <w:rFonts w:ascii="Bookman Old Style" w:hAnsi="Bookman Old Style"/>
          <w:szCs w:val="24"/>
        </w:rPr>
      </w:pPr>
      <w:r w:rsidRPr="00D82DF6">
        <w:rPr>
          <w:rFonts w:ascii="Bookman Old Style" w:hAnsi="Bookman Old Style"/>
          <w:b/>
          <w:szCs w:val="24"/>
        </w:rPr>
        <w:t xml:space="preserve">Docket </w:t>
      </w:r>
      <w:r w:rsidR="007C0440" w:rsidRPr="00D82DF6">
        <w:rPr>
          <w:rFonts w:ascii="Bookman Old Style" w:hAnsi="Bookman Old Style"/>
          <w:b/>
          <w:szCs w:val="24"/>
        </w:rPr>
        <w:t>number:</w:t>
      </w:r>
      <w:r w:rsidR="00441439" w:rsidRPr="00D82DF6">
        <w:rPr>
          <w:rFonts w:ascii="Bookman Old Style" w:hAnsi="Bookman Old Style"/>
          <w:szCs w:val="24"/>
        </w:rPr>
        <w:t xml:space="preserve"> </w:t>
      </w:r>
      <w:r w:rsidR="00291565">
        <w:rPr>
          <w:rFonts w:ascii="Bookman Old Style" w:hAnsi="Bookman Old Style"/>
          <w:szCs w:val="24"/>
        </w:rPr>
        <w:t>20 0153</w:t>
      </w:r>
      <w:r w:rsidR="00441439" w:rsidRPr="00D82DF6">
        <w:rPr>
          <w:rFonts w:ascii="Bookman Old Style" w:hAnsi="Bookman Old Style"/>
          <w:szCs w:val="24"/>
        </w:rPr>
        <w:t xml:space="preserve">     </w:t>
      </w:r>
      <w:r w:rsidRPr="00D82DF6">
        <w:rPr>
          <w:rFonts w:ascii="Bookman Old Style" w:hAnsi="Bookman Old Style"/>
          <w:b/>
          <w:szCs w:val="24"/>
        </w:rPr>
        <w:t>Hearing d</w:t>
      </w:r>
      <w:r w:rsidR="00441439" w:rsidRPr="00D82DF6">
        <w:rPr>
          <w:rFonts w:ascii="Bookman Old Style" w:hAnsi="Bookman Old Style"/>
          <w:b/>
          <w:szCs w:val="24"/>
        </w:rPr>
        <w:t>ate:</w:t>
      </w:r>
      <w:r w:rsidR="00441439" w:rsidRPr="00D82DF6">
        <w:rPr>
          <w:rFonts w:ascii="Bookman Old Style" w:hAnsi="Bookman Old Style"/>
          <w:szCs w:val="24"/>
        </w:rPr>
        <w:t xml:space="preserve"> </w:t>
      </w:r>
      <w:r w:rsidR="00291565">
        <w:rPr>
          <w:rFonts w:ascii="Bookman Old Style" w:hAnsi="Bookman Old Style"/>
          <w:szCs w:val="24"/>
        </w:rPr>
        <w:t>March 3, 2020</w:t>
      </w:r>
    </w:p>
    <w:p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rsidR="00441439" w:rsidRPr="00D82DF6" w:rsidRDefault="00441439" w:rsidP="00291565">
      <w:pPr>
        <w:widowControl/>
        <w:tabs>
          <w:tab w:val="left" w:pos="-1440"/>
          <w:tab w:val="left" w:pos="-720"/>
          <w:tab w:val="left" w:pos="0"/>
          <w:tab w:val="left" w:pos="5040"/>
          <w:tab w:val="left" w:pos="5760"/>
        </w:tabs>
        <w:suppressAutoHyphens/>
        <w:ind w:right="-360"/>
        <w:outlineLvl w:val="0"/>
        <w:rPr>
          <w:rFonts w:ascii="Bookman Old Style" w:hAnsi="Bookman Old Style"/>
          <w:szCs w:val="24"/>
        </w:rPr>
      </w:pPr>
      <w:r w:rsidRPr="00D82DF6">
        <w:rPr>
          <w:rFonts w:ascii="Bookman Old Style" w:hAnsi="Bookman Old Style"/>
          <w:b/>
          <w:szCs w:val="24"/>
        </w:rPr>
        <w:t>CLAIMANT:</w:t>
      </w:r>
      <w:r w:rsidRPr="00D82DF6">
        <w:rPr>
          <w:rFonts w:ascii="Bookman Old Style" w:hAnsi="Bookman Old Style"/>
          <w:b/>
          <w:szCs w:val="24"/>
        </w:rPr>
        <w:tab/>
        <w:t>EMPLOYER:</w:t>
      </w:r>
    </w:p>
    <w:p w:rsidR="00441439" w:rsidRPr="00D82DF6" w:rsidRDefault="00441439" w:rsidP="00291565">
      <w:pPr>
        <w:widowControl/>
        <w:tabs>
          <w:tab w:val="left" w:pos="-1440"/>
          <w:tab w:val="left" w:pos="-720"/>
          <w:tab w:val="left" w:pos="0"/>
          <w:tab w:val="left" w:pos="5040"/>
          <w:tab w:val="left" w:pos="5760"/>
        </w:tabs>
        <w:suppressAutoHyphens/>
        <w:ind w:right="-360"/>
        <w:rPr>
          <w:rFonts w:ascii="Bookman Old Style" w:hAnsi="Bookman Old Style"/>
          <w:szCs w:val="24"/>
        </w:rPr>
      </w:pPr>
    </w:p>
    <w:p w:rsidR="00291565" w:rsidRPr="00291565" w:rsidRDefault="00291565" w:rsidP="00291565">
      <w:pPr>
        <w:widowControl/>
        <w:tabs>
          <w:tab w:val="left" w:pos="-1440"/>
          <w:tab w:val="left" w:pos="-720"/>
          <w:tab w:val="left" w:pos="0"/>
          <w:tab w:val="left" w:pos="5040"/>
          <w:tab w:val="left" w:pos="5760"/>
        </w:tabs>
        <w:suppressAutoHyphens/>
        <w:ind w:right="-360"/>
        <w:rPr>
          <w:rFonts w:ascii="Bookman Old Style" w:hAnsi="Bookman Old Style"/>
          <w:szCs w:val="24"/>
        </w:rPr>
      </w:pPr>
      <w:r w:rsidRPr="00291565">
        <w:rPr>
          <w:rFonts w:ascii="Bookman Old Style" w:hAnsi="Bookman Old Style"/>
          <w:szCs w:val="24"/>
        </w:rPr>
        <w:t>NICOLE GORDON</w:t>
      </w:r>
      <w:r>
        <w:rPr>
          <w:rFonts w:ascii="Bookman Old Style" w:hAnsi="Bookman Old Style"/>
          <w:szCs w:val="24"/>
        </w:rPr>
        <w:tab/>
      </w:r>
      <w:r w:rsidRPr="00291565">
        <w:rPr>
          <w:rFonts w:ascii="Bookman Old Style" w:hAnsi="Bookman Old Style"/>
          <w:szCs w:val="24"/>
        </w:rPr>
        <w:t>ALEUT ENTERPRISE LLC</w:t>
      </w:r>
    </w:p>
    <w:p w:rsidR="00441439" w:rsidRDefault="00441439" w:rsidP="00291565">
      <w:pPr>
        <w:widowControl/>
        <w:tabs>
          <w:tab w:val="left" w:pos="-1440"/>
          <w:tab w:val="left" w:pos="-720"/>
          <w:tab w:val="left" w:pos="0"/>
          <w:tab w:val="left" w:pos="5040"/>
          <w:tab w:val="left" w:pos="5760"/>
        </w:tabs>
        <w:suppressAutoHyphens/>
        <w:ind w:right="-360"/>
        <w:rPr>
          <w:rFonts w:ascii="Bookman Old Style" w:hAnsi="Bookman Old Style"/>
          <w:szCs w:val="24"/>
        </w:rPr>
      </w:pPr>
    </w:p>
    <w:p w:rsidR="00232A83" w:rsidRDefault="00232A83" w:rsidP="00291565">
      <w:pPr>
        <w:widowControl/>
        <w:tabs>
          <w:tab w:val="left" w:pos="-1440"/>
          <w:tab w:val="left" w:pos="-720"/>
          <w:tab w:val="left" w:pos="0"/>
          <w:tab w:val="left" w:pos="5040"/>
          <w:tab w:val="left" w:pos="5760"/>
        </w:tabs>
        <w:suppressAutoHyphens/>
        <w:ind w:right="-360"/>
        <w:rPr>
          <w:rFonts w:ascii="Bookman Old Style" w:hAnsi="Bookman Old Style"/>
          <w:szCs w:val="24"/>
        </w:rPr>
      </w:pPr>
    </w:p>
    <w:p w:rsidR="00232A83" w:rsidRPr="00D82DF6" w:rsidRDefault="00232A83" w:rsidP="00291565">
      <w:pPr>
        <w:widowControl/>
        <w:tabs>
          <w:tab w:val="left" w:pos="-1440"/>
          <w:tab w:val="left" w:pos="-720"/>
          <w:tab w:val="left" w:pos="0"/>
          <w:tab w:val="left" w:pos="5040"/>
          <w:tab w:val="left" w:pos="5760"/>
        </w:tabs>
        <w:suppressAutoHyphens/>
        <w:ind w:right="-360"/>
        <w:rPr>
          <w:rFonts w:ascii="Bookman Old Style" w:hAnsi="Bookman Old Style"/>
          <w:szCs w:val="24"/>
        </w:rPr>
      </w:pPr>
      <w:bookmarkStart w:id="0" w:name="_GoBack"/>
      <w:bookmarkEnd w:id="0"/>
    </w:p>
    <w:p w:rsidR="00441439" w:rsidRPr="00D82DF6" w:rsidRDefault="00441439" w:rsidP="00291565">
      <w:pPr>
        <w:widowControl/>
        <w:tabs>
          <w:tab w:val="left" w:pos="-1440"/>
          <w:tab w:val="left" w:pos="-720"/>
          <w:tab w:val="left" w:pos="0"/>
          <w:tab w:val="left" w:pos="5040"/>
          <w:tab w:val="left" w:pos="5760"/>
        </w:tabs>
        <w:suppressAutoHyphens/>
        <w:ind w:right="-360"/>
        <w:rPr>
          <w:rFonts w:ascii="Bookman Old Style" w:hAnsi="Bookman Old Style"/>
          <w:szCs w:val="24"/>
        </w:rPr>
      </w:pPr>
      <w:r w:rsidRPr="00D82DF6">
        <w:rPr>
          <w:rFonts w:ascii="Bookman Old Style" w:hAnsi="Bookman Old Style"/>
          <w:b/>
          <w:szCs w:val="24"/>
        </w:rPr>
        <w:t>CLAIMANT APPEARANCES:</w:t>
      </w:r>
      <w:r w:rsidRPr="00D82DF6">
        <w:rPr>
          <w:rFonts w:ascii="Bookman Old Style" w:hAnsi="Bookman Old Style"/>
          <w:b/>
          <w:szCs w:val="24"/>
        </w:rPr>
        <w:tab/>
        <w:t>EMPLOYER APPEARANCES:</w:t>
      </w:r>
    </w:p>
    <w:p w:rsidR="00441439" w:rsidRPr="00D82DF6" w:rsidRDefault="00441439" w:rsidP="00291565">
      <w:pPr>
        <w:widowControl/>
        <w:tabs>
          <w:tab w:val="left" w:pos="-1440"/>
          <w:tab w:val="left" w:pos="-720"/>
          <w:tab w:val="left" w:pos="0"/>
          <w:tab w:val="left" w:pos="5040"/>
          <w:tab w:val="left" w:pos="5760"/>
        </w:tabs>
        <w:suppressAutoHyphens/>
        <w:ind w:right="-360"/>
        <w:rPr>
          <w:rFonts w:ascii="Bookman Old Style" w:hAnsi="Bookman Old Style"/>
          <w:szCs w:val="24"/>
        </w:rPr>
      </w:pPr>
    </w:p>
    <w:p w:rsidR="00441439" w:rsidRPr="00D82DF6" w:rsidRDefault="00291565" w:rsidP="00291565">
      <w:pPr>
        <w:widowControl/>
        <w:tabs>
          <w:tab w:val="left" w:pos="-1440"/>
          <w:tab w:val="left" w:pos="-720"/>
          <w:tab w:val="left" w:pos="0"/>
          <w:tab w:val="left" w:pos="5040"/>
          <w:tab w:val="left" w:pos="5760"/>
        </w:tabs>
        <w:suppressAutoHyphens/>
        <w:ind w:right="-360"/>
        <w:rPr>
          <w:rFonts w:ascii="Bookman Old Style" w:hAnsi="Bookman Old Style"/>
          <w:szCs w:val="24"/>
        </w:rPr>
      </w:pPr>
      <w:r>
        <w:rPr>
          <w:rFonts w:ascii="Bookman Old Style" w:hAnsi="Bookman Old Style"/>
          <w:szCs w:val="24"/>
        </w:rPr>
        <w:t>Nicole Gordon</w:t>
      </w:r>
      <w:r w:rsidR="00441439" w:rsidRPr="00D82DF6">
        <w:rPr>
          <w:rFonts w:ascii="Bookman Old Style" w:hAnsi="Bookman Old Style"/>
          <w:szCs w:val="24"/>
        </w:rPr>
        <w:tab/>
      </w:r>
      <w:r>
        <w:rPr>
          <w:rFonts w:ascii="Bookman Old Style" w:hAnsi="Bookman Old Style"/>
          <w:szCs w:val="24"/>
        </w:rPr>
        <w:t>None</w:t>
      </w:r>
    </w:p>
    <w:p w:rsidR="005A281D" w:rsidRPr="00D82DF6" w:rsidRDefault="005A281D" w:rsidP="00D82DF6">
      <w:pPr>
        <w:widowControl/>
        <w:tabs>
          <w:tab w:val="left" w:pos="-1440"/>
          <w:tab w:val="left" w:pos="-720"/>
          <w:tab w:val="left" w:pos="0"/>
          <w:tab w:val="left" w:pos="5760"/>
        </w:tabs>
        <w:suppressAutoHyphens/>
        <w:ind w:right="-360"/>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CASE HISTORY</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widowControl/>
        <w:spacing w:after="200"/>
        <w:rPr>
          <w:rFonts w:ascii="Bookman Old Style" w:hAnsi="Bookman Old Style"/>
          <w:snapToGrid/>
          <w:szCs w:val="24"/>
        </w:rPr>
      </w:pPr>
      <w:r w:rsidRPr="00D82DF6">
        <w:rPr>
          <w:rFonts w:ascii="Bookman Old Style" w:hAnsi="Bookman Old Style"/>
          <w:snapToGrid/>
          <w:szCs w:val="24"/>
        </w:rPr>
        <w:t xml:space="preserve">The </w:t>
      </w:r>
      <w:r w:rsidR="00291565">
        <w:rPr>
          <w:rFonts w:ascii="Bookman Old Style" w:hAnsi="Bookman Old Style"/>
          <w:szCs w:val="24"/>
        </w:rPr>
        <w:t>claimant</w:t>
      </w:r>
      <w:r w:rsidR="00FD077C">
        <w:rPr>
          <w:rFonts w:ascii="Bookman Old Style" w:hAnsi="Bookman Old Style"/>
          <w:szCs w:val="24"/>
        </w:rPr>
        <w:t xml:space="preserve"> </w:t>
      </w:r>
      <w:r w:rsidRPr="00D82DF6">
        <w:rPr>
          <w:rFonts w:ascii="Bookman Old Style" w:hAnsi="Bookman Old Style"/>
          <w:snapToGrid/>
          <w:szCs w:val="24"/>
        </w:rPr>
        <w:t xml:space="preserve">timely appealed a </w:t>
      </w:r>
      <w:r w:rsidR="00291565">
        <w:rPr>
          <w:rFonts w:ascii="Bookman Old Style" w:hAnsi="Bookman Old Style"/>
          <w:snapToGrid/>
          <w:szCs w:val="24"/>
        </w:rPr>
        <w:t>February 7, 2020</w:t>
      </w:r>
      <w:r w:rsidRPr="00D82DF6">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w:t>
      </w: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FINDINGS OF FACT</w:t>
      </w:r>
    </w:p>
    <w:p w:rsidR="00441439" w:rsidRPr="00D82DF6" w:rsidRDefault="00441439" w:rsidP="00D82DF6">
      <w:pPr>
        <w:tabs>
          <w:tab w:val="left" w:pos="-1440"/>
          <w:tab w:val="left" w:pos="-720"/>
        </w:tabs>
        <w:rPr>
          <w:rFonts w:ascii="Bookman Old Style" w:hAnsi="Bookman Old Style"/>
          <w:szCs w:val="24"/>
        </w:rPr>
      </w:pPr>
    </w:p>
    <w:p w:rsidR="005A281D" w:rsidRDefault="00441439" w:rsidP="00D82DF6">
      <w:pPr>
        <w:widowControl/>
        <w:tabs>
          <w:tab w:val="left" w:pos="-1440"/>
          <w:tab w:val="left" w:pos="-720"/>
        </w:tabs>
        <w:suppressAutoHyphens/>
        <w:spacing w:after="200"/>
        <w:ind w:right="-360"/>
        <w:rPr>
          <w:rFonts w:ascii="Bookman Old Style" w:hAnsi="Bookman Old Style"/>
          <w:snapToGrid/>
          <w:szCs w:val="24"/>
        </w:rPr>
      </w:pPr>
      <w:r w:rsidRPr="00D82DF6">
        <w:rPr>
          <w:rFonts w:ascii="Bookman Old Style" w:hAnsi="Bookman Old Style"/>
          <w:snapToGrid/>
          <w:szCs w:val="24"/>
        </w:rPr>
        <w:t xml:space="preserve">The claimant began work for the employer </w:t>
      </w:r>
      <w:r w:rsidR="00291565">
        <w:rPr>
          <w:rFonts w:ascii="Bookman Old Style" w:hAnsi="Bookman Old Style"/>
          <w:snapToGrid/>
          <w:szCs w:val="24"/>
        </w:rPr>
        <w:t>in December 2015</w:t>
      </w:r>
      <w:r w:rsidRPr="00D82DF6">
        <w:rPr>
          <w:rFonts w:ascii="Bookman Old Style" w:hAnsi="Bookman Old Style"/>
          <w:snapToGrid/>
          <w:szCs w:val="24"/>
        </w:rPr>
        <w:t xml:space="preserve">. </w:t>
      </w:r>
      <w:r w:rsidR="00291565">
        <w:rPr>
          <w:rFonts w:ascii="Bookman Old Style" w:hAnsi="Bookman Old Style"/>
          <w:snapToGrid/>
          <w:szCs w:val="24"/>
        </w:rPr>
        <w:t>She</w:t>
      </w:r>
      <w:r w:rsidRPr="00D82DF6">
        <w:rPr>
          <w:rFonts w:ascii="Bookman Old Style" w:hAnsi="Bookman Old Style"/>
          <w:snapToGrid/>
          <w:szCs w:val="24"/>
        </w:rPr>
        <w:t xml:space="preserve"> last worked on </w:t>
      </w:r>
      <w:r w:rsidR="00F0459A">
        <w:rPr>
          <w:rFonts w:ascii="Bookman Old Style" w:hAnsi="Bookman Old Style"/>
          <w:snapToGrid/>
          <w:szCs w:val="24"/>
        </w:rPr>
        <w:t>November 16, 2019</w:t>
      </w:r>
      <w:r w:rsidRPr="00D82DF6">
        <w:rPr>
          <w:rFonts w:ascii="Bookman Old Style" w:hAnsi="Bookman Old Style"/>
          <w:snapToGrid/>
          <w:szCs w:val="24"/>
        </w:rPr>
        <w:t xml:space="preserve">. At that time, </w:t>
      </w:r>
      <w:r w:rsidR="00291565">
        <w:rPr>
          <w:rFonts w:ascii="Bookman Old Style" w:hAnsi="Bookman Old Style"/>
          <w:snapToGrid/>
          <w:szCs w:val="24"/>
        </w:rPr>
        <w:t>she</w:t>
      </w:r>
      <w:r w:rsidRPr="00D82DF6">
        <w:rPr>
          <w:rFonts w:ascii="Bookman Old Style" w:hAnsi="Bookman Old Style"/>
          <w:snapToGrid/>
          <w:szCs w:val="24"/>
        </w:rPr>
        <w:t xml:space="preserve"> worked </w:t>
      </w:r>
      <w:r w:rsidR="00291565">
        <w:rPr>
          <w:rFonts w:ascii="Bookman Old Style" w:hAnsi="Bookman Old Style"/>
          <w:snapToGrid/>
          <w:szCs w:val="24"/>
        </w:rPr>
        <w:t>full time</w:t>
      </w:r>
      <w:r w:rsidRPr="00D82DF6">
        <w:rPr>
          <w:rFonts w:ascii="Bookman Old Style" w:hAnsi="Bookman Old Style"/>
          <w:snapToGrid/>
          <w:szCs w:val="24"/>
        </w:rPr>
        <w:t xml:space="preserve"> as a </w:t>
      </w:r>
      <w:r w:rsidR="00291565">
        <w:rPr>
          <w:rFonts w:ascii="Bookman Old Style" w:hAnsi="Bookman Old Style"/>
          <w:snapToGrid/>
          <w:szCs w:val="24"/>
        </w:rPr>
        <w:t>hotel manager in Adak</w:t>
      </w:r>
      <w:r w:rsidRPr="00D82DF6">
        <w:rPr>
          <w:rFonts w:ascii="Bookman Old Style" w:hAnsi="Bookman Old Style"/>
          <w:snapToGrid/>
          <w:szCs w:val="24"/>
        </w:rPr>
        <w:t>.</w:t>
      </w:r>
    </w:p>
    <w:p w:rsidR="00291565" w:rsidRDefault="00291565"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had a child in 2019. The claimant took her child for a routine two-month check up at the local clinic. The claimant later learned her child had been given two vaccines that were not supposed to be administered until the child was a year old. </w:t>
      </w:r>
      <w:r w:rsidR="00E0764F">
        <w:rPr>
          <w:rFonts w:ascii="Bookman Old Style" w:hAnsi="Bookman Old Style"/>
          <w:snapToGrid/>
          <w:szCs w:val="24"/>
        </w:rPr>
        <w:t xml:space="preserve">No complications </w:t>
      </w:r>
      <w:r w:rsidR="00C03AC3">
        <w:rPr>
          <w:rFonts w:ascii="Bookman Old Style" w:hAnsi="Bookman Old Style"/>
          <w:snapToGrid/>
          <w:szCs w:val="24"/>
        </w:rPr>
        <w:t xml:space="preserve">occurred and the claimant’s child has no </w:t>
      </w:r>
      <w:r w:rsidR="00D26CE3">
        <w:rPr>
          <w:rFonts w:ascii="Bookman Old Style" w:hAnsi="Bookman Old Style"/>
          <w:snapToGrid/>
          <w:szCs w:val="24"/>
        </w:rPr>
        <w:t xml:space="preserve">known </w:t>
      </w:r>
      <w:r w:rsidR="00C03AC3">
        <w:rPr>
          <w:rFonts w:ascii="Bookman Old Style" w:hAnsi="Bookman Old Style"/>
          <w:snapToGrid/>
          <w:szCs w:val="24"/>
        </w:rPr>
        <w:t>health concerns.</w:t>
      </w:r>
      <w:r>
        <w:rPr>
          <w:rFonts w:ascii="Bookman Old Style" w:hAnsi="Bookman Old Style"/>
          <w:snapToGrid/>
          <w:szCs w:val="24"/>
        </w:rPr>
        <w:t xml:space="preserve"> The claimant talked to her family pediatrician in Washington and learned how future vaccines should be timed to get</w:t>
      </w:r>
      <w:r w:rsidR="00C03AC3">
        <w:rPr>
          <w:rFonts w:ascii="Bookman Old Style" w:hAnsi="Bookman Old Style"/>
          <w:snapToGrid/>
          <w:szCs w:val="24"/>
        </w:rPr>
        <w:t xml:space="preserve"> her child on the proper vaccination</w:t>
      </w:r>
      <w:r>
        <w:rPr>
          <w:rFonts w:ascii="Bookman Old Style" w:hAnsi="Bookman Old Style"/>
          <w:snapToGrid/>
          <w:szCs w:val="24"/>
        </w:rPr>
        <w:t xml:space="preserve"> schedule.  The claimant returned to the clinic for a three-month check and saw a new provider, who wanted to give her child </w:t>
      </w:r>
      <w:r w:rsidR="00E0764F">
        <w:rPr>
          <w:rFonts w:ascii="Bookman Old Style" w:hAnsi="Bookman Old Style"/>
          <w:snapToGrid/>
          <w:szCs w:val="24"/>
        </w:rPr>
        <w:t xml:space="preserve">an additional </w:t>
      </w:r>
      <w:r>
        <w:rPr>
          <w:rFonts w:ascii="Bookman Old Style" w:hAnsi="Bookman Old Style"/>
          <w:snapToGrid/>
          <w:szCs w:val="24"/>
        </w:rPr>
        <w:t xml:space="preserve">vaccine on a different schedule than the claimant’s pediatrician recommended.  </w:t>
      </w:r>
    </w:p>
    <w:p w:rsidR="00D82DF6" w:rsidRDefault="00E0764F" w:rsidP="00E0764F">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At that point, the claimant decided she needed to relocate so her child would have better access to pediatric care</w:t>
      </w:r>
      <w:r w:rsidR="00C03AC3">
        <w:rPr>
          <w:rFonts w:ascii="Bookman Old Style" w:hAnsi="Bookman Old Style"/>
          <w:snapToGrid/>
          <w:szCs w:val="24"/>
        </w:rPr>
        <w:t xml:space="preserve"> than that available at a small clinic in an isolated community</w:t>
      </w:r>
      <w:r>
        <w:rPr>
          <w:rFonts w:ascii="Bookman Old Style" w:hAnsi="Bookman Old Style"/>
          <w:snapToGrid/>
          <w:szCs w:val="24"/>
        </w:rPr>
        <w:t xml:space="preserve">. The claimant had a high risk pregnancy </w:t>
      </w:r>
      <w:r w:rsidR="00C03AC3">
        <w:rPr>
          <w:rFonts w:ascii="Bookman Old Style" w:hAnsi="Bookman Old Style"/>
          <w:snapToGrid/>
          <w:szCs w:val="24"/>
        </w:rPr>
        <w:t xml:space="preserve">with her child </w:t>
      </w:r>
      <w:r>
        <w:rPr>
          <w:rFonts w:ascii="Bookman Old Style" w:hAnsi="Bookman Old Style"/>
          <w:snapToGrid/>
          <w:szCs w:val="24"/>
        </w:rPr>
        <w:t xml:space="preserve">and </w:t>
      </w:r>
      <w:r w:rsidR="00C03AC3">
        <w:rPr>
          <w:rFonts w:ascii="Bookman Old Style" w:hAnsi="Bookman Old Style"/>
          <w:snapToGrid/>
          <w:szCs w:val="24"/>
        </w:rPr>
        <w:t xml:space="preserve">she </w:t>
      </w:r>
      <w:r>
        <w:rPr>
          <w:rFonts w:ascii="Bookman Old Style" w:hAnsi="Bookman Old Style"/>
          <w:snapToGrid/>
          <w:szCs w:val="24"/>
        </w:rPr>
        <w:t xml:space="preserve">could </w:t>
      </w:r>
      <w:proofErr w:type="gramStart"/>
      <w:r>
        <w:rPr>
          <w:rFonts w:ascii="Bookman Old Style" w:hAnsi="Bookman Old Style"/>
          <w:snapToGrid/>
          <w:szCs w:val="24"/>
        </w:rPr>
        <w:t>not</w:t>
      </w:r>
      <w:proofErr w:type="gramEnd"/>
      <w:r>
        <w:rPr>
          <w:rFonts w:ascii="Bookman Old Style" w:hAnsi="Bookman Old Style"/>
          <w:snapToGrid/>
          <w:szCs w:val="24"/>
        </w:rPr>
        <w:t xml:space="preserve"> receive her pregnancy care in Adak.  The claimant plans to have more children and she believes </w:t>
      </w:r>
      <w:r w:rsidR="00C03AC3">
        <w:rPr>
          <w:rFonts w:ascii="Bookman Old Style" w:hAnsi="Bookman Old Style"/>
          <w:snapToGrid/>
          <w:szCs w:val="24"/>
        </w:rPr>
        <w:t>the isolated community is</w:t>
      </w:r>
      <w:r>
        <w:rPr>
          <w:rFonts w:ascii="Bookman Old Style" w:hAnsi="Bookman Old Style"/>
          <w:snapToGrid/>
          <w:szCs w:val="24"/>
        </w:rPr>
        <w:t xml:space="preserve"> not a good place to have children. The </w:t>
      </w:r>
      <w:r>
        <w:rPr>
          <w:rFonts w:ascii="Bookman Old Style" w:hAnsi="Bookman Old Style"/>
          <w:snapToGrid/>
          <w:szCs w:val="24"/>
        </w:rPr>
        <w:lastRenderedPageBreak/>
        <w:t xml:space="preserve">claimant advised the employer in July 2019 that she would be relocating in November.  The claimant wanted to give the employer a long notice period because she believed it would take them some time to replace her.  The claimant last worked on November 16, 2019. She relocated to </w:t>
      </w:r>
      <w:r w:rsidR="009059D8">
        <w:rPr>
          <w:rFonts w:ascii="Bookman Old Style" w:hAnsi="Bookman Old Style"/>
          <w:snapToGrid/>
          <w:szCs w:val="24"/>
        </w:rPr>
        <w:t xml:space="preserve">Olympia, </w:t>
      </w:r>
      <w:r>
        <w:rPr>
          <w:rFonts w:ascii="Bookman Old Style" w:hAnsi="Bookman Old Style"/>
          <w:snapToGrid/>
          <w:szCs w:val="24"/>
        </w:rPr>
        <w:t>Washington, where she has family, on November 20, 2019.</w:t>
      </w:r>
    </w:p>
    <w:p w:rsidR="00C03AC3" w:rsidRPr="00D82DF6" w:rsidRDefault="00C03AC3" w:rsidP="00E0764F">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claimant asked the employer about the possibility of transfer to another</w:t>
      </w:r>
      <w:r w:rsidR="00100FBF">
        <w:rPr>
          <w:rFonts w:ascii="Bookman Old Style" w:hAnsi="Bookman Old Style"/>
          <w:snapToGrid/>
          <w:szCs w:val="24"/>
        </w:rPr>
        <w:t xml:space="preserve"> work site. The employer has a worksite in Eastern Washington, but not </w:t>
      </w:r>
      <w:r w:rsidR="009059D8">
        <w:rPr>
          <w:rFonts w:ascii="Bookman Old Style" w:hAnsi="Bookman Old Style"/>
          <w:snapToGrid/>
          <w:szCs w:val="24"/>
        </w:rPr>
        <w:t>near</w:t>
      </w:r>
      <w:r w:rsidR="00100FBF">
        <w:rPr>
          <w:rFonts w:ascii="Bookman Old Style" w:hAnsi="Bookman Old Style"/>
          <w:snapToGrid/>
          <w:szCs w:val="24"/>
        </w:rPr>
        <w:t xml:space="preserve"> the area where the claimant wanted to relocate near </w:t>
      </w:r>
      <w:r w:rsidR="009059D8">
        <w:rPr>
          <w:rFonts w:ascii="Bookman Old Style" w:hAnsi="Bookman Old Style"/>
          <w:snapToGrid/>
          <w:szCs w:val="24"/>
        </w:rPr>
        <w:t xml:space="preserve">her </w:t>
      </w:r>
      <w:r w:rsidR="00100FBF">
        <w:rPr>
          <w:rFonts w:ascii="Bookman Old Style" w:hAnsi="Bookman Old Style"/>
          <w:snapToGrid/>
          <w:szCs w:val="24"/>
        </w:rPr>
        <w:t>family</w:t>
      </w:r>
      <w:r>
        <w:rPr>
          <w:rFonts w:ascii="Bookman Old Style" w:hAnsi="Bookman Old Style"/>
          <w:snapToGrid/>
          <w:szCs w:val="24"/>
        </w:rPr>
        <w:t xml:space="preserve">.  </w:t>
      </w:r>
    </w:p>
    <w:p w:rsidR="005A281D" w:rsidRPr="00D82DF6" w:rsidRDefault="005A281D" w:rsidP="00D82DF6">
      <w:pPr>
        <w:pStyle w:val="Heading4"/>
        <w:jc w:val="center"/>
        <w:rPr>
          <w:rFonts w:ascii="Bookman Old Style" w:hAnsi="Bookman Old Style"/>
          <w:szCs w:val="24"/>
        </w:rPr>
      </w:pPr>
      <w:r w:rsidRPr="00D82DF6">
        <w:rPr>
          <w:rFonts w:ascii="Bookman Old Style" w:hAnsi="Bookman Old Style"/>
          <w:szCs w:val="24"/>
        </w:rPr>
        <w:t>PROVISIONS OF LAW</w:t>
      </w:r>
    </w:p>
    <w:p w:rsidR="005A281D" w:rsidRPr="00D82DF6" w:rsidRDefault="005A281D" w:rsidP="00D82DF6">
      <w:pPr>
        <w:tabs>
          <w:tab w:val="left" w:pos="-1440"/>
          <w:tab w:val="left" w:pos="-720"/>
        </w:tabs>
        <w:rPr>
          <w:rFonts w:ascii="Bookman Old Style" w:hAnsi="Bookman Old Style"/>
          <w:szCs w:val="24"/>
        </w:rPr>
      </w:pP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AS 23.20.379 provides in part:</w:t>
      </w:r>
    </w:p>
    <w:p w:rsidR="003E7E91" w:rsidRPr="00D82DF6" w:rsidRDefault="003E7E91" w:rsidP="00D82DF6">
      <w:pPr>
        <w:tabs>
          <w:tab w:val="left" w:pos="-1440"/>
          <w:tab w:val="left" w:pos="-720"/>
          <w:tab w:val="left" w:pos="0"/>
          <w:tab w:val="left" w:pos="720"/>
        </w:tabs>
        <w:suppressAutoHyphens/>
        <w:ind w:right="-360"/>
        <w:rPr>
          <w:rFonts w:ascii="Bookman Old Style" w:hAnsi="Bookman Old Style"/>
          <w:szCs w:val="24"/>
        </w:rPr>
      </w:pPr>
      <w:r w:rsidRPr="00D82DF6">
        <w:rPr>
          <w:rFonts w:ascii="Bookman Old Style" w:hAnsi="Bookman Old Style"/>
          <w:szCs w:val="24"/>
        </w:rPr>
        <w:tab/>
      </w:r>
    </w:p>
    <w:p w:rsidR="003E7E91" w:rsidRPr="00D82DF6" w:rsidRDefault="003E7E91" w:rsidP="00D82DF6">
      <w:pPr>
        <w:tabs>
          <w:tab w:val="left" w:pos="-1440"/>
          <w:tab w:val="left" w:pos="-720"/>
          <w:tab w:val="left" w:pos="0"/>
          <w:tab w:val="left" w:pos="1440"/>
        </w:tabs>
        <w:suppressAutoHyphens/>
        <w:ind w:left="1440" w:right="-360" w:hanging="720"/>
        <w:rPr>
          <w:rFonts w:ascii="Bookman Old Style" w:hAnsi="Bookman Old Style"/>
          <w:szCs w:val="24"/>
        </w:rPr>
      </w:pPr>
      <w:r w:rsidRPr="00D82DF6">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rsidR="003E7E91" w:rsidRPr="00D82DF6" w:rsidRDefault="003E7E91" w:rsidP="00D82DF6">
      <w:pPr>
        <w:tabs>
          <w:tab w:val="left" w:pos="-1440"/>
          <w:tab w:val="left" w:pos="-720"/>
          <w:tab w:val="left" w:pos="0"/>
          <w:tab w:val="left" w:pos="720"/>
          <w:tab w:val="left" w:pos="1440"/>
        </w:tabs>
        <w:suppressAutoHyphens/>
        <w:ind w:left="720" w:right="-360"/>
        <w:rPr>
          <w:rFonts w:ascii="Bookman Old Style" w:hAnsi="Bookman Old Style"/>
          <w:szCs w:val="24"/>
        </w:rPr>
      </w:pPr>
    </w:p>
    <w:p w:rsidR="003E7E91" w:rsidRPr="00D82DF6" w:rsidRDefault="003E7E91" w:rsidP="00D82DF6">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proofErr w:type="gramStart"/>
      <w:r w:rsidRPr="00D82DF6">
        <w:rPr>
          <w:rFonts w:ascii="Bookman Old Style" w:hAnsi="Bookman Old Style"/>
          <w:szCs w:val="24"/>
        </w:rPr>
        <w:t>left</w:t>
      </w:r>
      <w:proofErr w:type="gramEnd"/>
      <w:r w:rsidRPr="00D82DF6">
        <w:rPr>
          <w:rFonts w:ascii="Bookman Old Style" w:hAnsi="Bookman Old Style"/>
          <w:szCs w:val="24"/>
        </w:rPr>
        <w:t xml:space="preserve"> the insured worker's last suitable work voluntarily without  good cause....</w:t>
      </w:r>
    </w:p>
    <w:p w:rsidR="003E7E91" w:rsidRPr="00D82DF6" w:rsidRDefault="003E7E91" w:rsidP="00D82DF6">
      <w:pPr>
        <w:tabs>
          <w:tab w:val="left" w:pos="-1440"/>
          <w:tab w:val="left" w:pos="-720"/>
        </w:tabs>
        <w:rPr>
          <w:rFonts w:ascii="Bookman Old Style" w:hAnsi="Bookman Old Style"/>
          <w:szCs w:val="24"/>
        </w:rPr>
      </w:pP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8 AAC 85.095 provides in part:</w:t>
      </w:r>
    </w:p>
    <w:p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p>
    <w:p w:rsidR="003A5235"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To determine the existence of good cause under AS 23.20.379(a</w:t>
      </w:r>
      <w:proofErr w:type="gramStart"/>
      <w:r w:rsidRPr="00D82DF6">
        <w:rPr>
          <w:rFonts w:ascii="Bookman Old Style" w:hAnsi="Bookman Old Style"/>
          <w:snapToGrid/>
          <w:szCs w:val="24"/>
        </w:rPr>
        <w:t>)(</w:t>
      </w:r>
      <w:proofErr w:type="gramEnd"/>
      <w:r w:rsidRPr="00D82DF6">
        <w:rPr>
          <w:rFonts w:ascii="Bookman Old Style" w:hAnsi="Bookman Old Style"/>
          <w:snapToGrid/>
          <w:szCs w:val="24"/>
        </w:rPr>
        <w:t xml:space="preserve">1) for voluntarily leaving work determined to be suitable under </w:t>
      </w:r>
    </w:p>
    <w:p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AS 23.20.385, the department will consider only the following factors:</w:t>
      </w:r>
    </w:p>
    <w:p w:rsidR="003E7E91" w:rsidRPr="00D82DF6" w:rsidRDefault="003E7E91" w:rsidP="00D82DF6">
      <w:pPr>
        <w:widowControl/>
        <w:autoSpaceDE w:val="0"/>
        <w:autoSpaceDN w:val="0"/>
        <w:adjustRightInd w:val="0"/>
        <w:ind w:left="1440" w:hanging="720"/>
        <w:rPr>
          <w:rFonts w:ascii="Bookman Old Style" w:hAnsi="Bookman Old Style"/>
          <w:snapToGrid/>
          <w:szCs w:val="24"/>
        </w:rPr>
      </w:pP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(1) </w:t>
      </w:r>
      <w:r w:rsidRPr="00D82DF6">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(2) </w:t>
      </w:r>
      <w:r w:rsidRPr="00D82DF6">
        <w:rPr>
          <w:rFonts w:ascii="Bookman Old Style" w:hAnsi="Bookman Old Style"/>
          <w:snapToGrid/>
          <w:szCs w:val="24"/>
        </w:rPr>
        <w:tab/>
      </w:r>
      <w:proofErr w:type="gramStart"/>
      <w:r w:rsidRPr="00D82DF6">
        <w:rPr>
          <w:rFonts w:ascii="Bookman Old Style" w:hAnsi="Bookman Old Style"/>
          <w:snapToGrid/>
          <w:szCs w:val="24"/>
        </w:rPr>
        <w:t>leaving</w:t>
      </w:r>
      <w:proofErr w:type="gramEnd"/>
      <w:r w:rsidRPr="00D82DF6">
        <w:rPr>
          <w:rFonts w:ascii="Bookman Old Style" w:hAnsi="Bookman Old Style"/>
          <w:snapToGrid/>
          <w:szCs w:val="24"/>
        </w:rPr>
        <w:t xml:space="preserve"> work to care for an immediate family member who has a disability or illness;</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r>
      <w:proofErr w:type="gramStart"/>
      <w:r w:rsidRPr="00D82DF6">
        <w:rPr>
          <w:rFonts w:ascii="Bookman Old Style" w:hAnsi="Bookman Old Style"/>
          <w:snapToGrid/>
          <w:szCs w:val="24"/>
        </w:rPr>
        <w:t>leaving</w:t>
      </w:r>
      <w:proofErr w:type="gramEnd"/>
      <w:r w:rsidRPr="00D82DF6">
        <w:rPr>
          <w:rFonts w:ascii="Bookman Old Style" w:hAnsi="Bookman Old Style"/>
          <w:snapToGrid/>
          <w:szCs w:val="24"/>
        </w:rPr>
        <w:t xml:space="preserve"> work to accompany or join a spouse at a change of location, if commuting from the new location to the claimant’s work is impractical; for purposes of this paragraph, the change of location must be as a result of the spouse’s</w:t>
      </w:r>
    </w:p>
    <w:p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 xml:space="preserve">(A) </w:t>
      </w:r>
      <w:proofErr w:type="gramStart"/>
      <w:r w:rsidRPr="00D82DF6">
        <w:rPr>
          <w:rFonts w:ascii="Bookman Old Style" w:hAnsi="Bookman Old Style"/>
          <w:snapToGrid/>
          <w:szCs w:val="24"/>
        </w:rPr>
        <w:t>discharge</w:t>
      </w:r>
      <w:proofErr w:type="gramEnd"/>
      <w:r w:rsidRPr="00D82DF6">
        <w:rPr>
          <w:rFonts w:ascii="Bookman Old Style" w:hAnsi="Bookman Old Style"/>
          <w:snapToGrid/>
          <w:szCs w:val="24"/>
        </w:rPr>
        <w:t xml:space="preserve"> from military service; or</w:t>
      </w:r>
    </w:p>
    <w:p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 xml:space="preserve">(B) </w:t>
      </w:r>
      <w:proofErr w:type="gramStart"/>
      <w:r w:rsidRPr="00D82DF6">
        <w:rPr>
          <w:rFonts w:ascii="Bookman Old Style" w:hAnsi="Bookman Old Style"/>
          <w:snapToGrid/>
          <w:szCs w:val="24"/>
        </w:rPr>
        <w:t>employment</w:t>
      </w:r>
      <w:proofErr w:type="gramEnd"/>
      <w:r w:rsidRPr="00D82DF6">
        <w:rPr>
          <w:rFonts w:ascii="Bookman Old Style" w:hAnsi="Bookman Old Style"/>
          <w:snapToGrid/>
          <w:szCs w:val="24"/>
        </w:rPr>
        <w:t>;</w:t>
      </w:r>
    </w:p>
    <w:p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lastRenderedPageBreak/>
        <w:t xml:space="preserve">(5) </w:t>
      </w:r>
      <w:r w:rsidRPr="00D82DF6">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rsidR="003E7E91" w:rsidRPr="00D82DF6" w:rsidRDefault="00D82DF6" w:rsidP="003311C5">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proofErr w:type="gramStart"/>
      <w:r w:rsidR="003E7E91" w:rsidRPr="00D82DF6">
        <w:rPr>
          <w:rFonts w:ascii="Bookman Old Style" w:hAnsi="Bookman Old Style"/>
          <w:snapToGrid/>
          <w:szCs w:val="24"/>
        </w:rPr>
        <w:t>leaving</w:t>
      </w:r>
      <w:proofErr w:type="gramEnd"/>
      <w:r w:rsidR="003E7E91" w:rsidRPr="00D82DF6">
        <w:rPr>
          <w:rFonts w:ascii="Bookman Old Style" w:hAnsi="Bookman Old Style"/>
          <w:snapToGrid/>
          <w:szCs w:val="24"/>
        </w:rPr>
        <w:t xml:space="preserve"> work in order to protect the claimant or the               claimant’s immediate family members from harassment or    violence;</w:t>
      </w:r>
    </w:p>
    <w:p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(7)</w:t>
      </w:r>
      <w:r w:rsidRPr="00D82DF6">
        <w:rPr>
          <w:rFonts w:ascii="Bookman Old Style" w:hAnsi="Bookman Old Style"/>
          <w:snapToGrid/>
          <w:szCs w:val="24"/>
        </w:rPr>
        <w:tab/>
        <w:t xml:space="preserve">leaving work to accept a </w:t>
      </w:r>
      <w:proofErr w:type="spellStart"/>
      <w:r w:rsidRPr="00D82DF6">
        <w:rPr>
          <w:rFonts w:ascii="Bookman Old Style" w:hAnsi="Bookman Old Style"/>
          <w:snapToGrid/>
          <w:szCs w:val="24"/>
        </w:rPr>
        <w:t>bonafide</w:t>
      </w:r>
      <w:proofErr w:type="spellEnd"/>
      <w:r w:rsidRPr="00D82DF6">
        <w:rPr>
          <w:rFonts w:ascii="Bookman Old Style" w:hAnsi="Bookman Old Style"/>
          <w:snapToGrid/>
          <w:szCs w:val="24"/>
        </w:rPr>
        <w:t xml:space="preserve"> offer of </w:t>
      </w:r>
      <w:r w:rsidR="003311C5">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sidR="003311C5">
        <w:rPr>
          <w:rFonts w:ascii="Bookman Old Style" w:hAnsi="Bookman Old Style"/>
          <w:snapToGrid/>
          <w:szCs w:val="24"/>
        </w:rPr>
        <w:t xml:space="preserve">r other working conditions; if </w:t>
      </w:r>
      <w:r w:rsidRPr="00D82DF6">
        <w:rPr>
          <w:rFonts w:ascii="Bookman Old Style" w:hAnsi="Bookman Old Style"/>
          <w:snapToGrid/>
          <w:szCs w:val="24"/>
        </w:rPr>
        <w:t xml:space="preserve">the new work does not materialize, the reasons for the work  not materializing must not be due to the fault of the worker; </w:t>
      </w:r>
    </w:p>
    <w:p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r>
      <w:proofErr w:type="gramStart"/>
      <w:r w:rsidRPr="00D82DF6">
        <w:rPr>
          <w:rFonts w:ascii="Bookman Old Style" w:hAnsi="Bookman Old Style"/>
          <w:snapToGrid/>
          <w:szCs w:val="24"/>
        </w:rPr>
        <w:t>other</w:t>
      </w:r>
      <w:proofErr w:type="gramEnd"/>
      <w:r w:rsidRPr="00D82DF6">
        <w:rPr>
          <w:rFonts w:ascii="Bookman Old Style" w:hAnsi="Bookman Old Style"/>
          <w:snapToGrid/>
          <w:szCs w:val="24"/>
        </w:rPr>
        <w:t xml:space="preserve"> factors listed in AS 23.20.385(b).</w:t>
      </w:r>
    </w:p>
    <w:p w:rsidR="003E7E91" w:rsidRPr="00D82DF6" w:rsidRDefault="003E7E91" w:rsidP="00D82DF6">
      <w:pPr>
        <w:widowControl/>
        <w:autoSpaceDE w:val="0"/>
        <w:autoSpaceDN w:val="0"/>
        <w:adjustRightInd w:val="0"/>
        <w:rPr>
          <w:rFonts w:ascii="Bookman Old Style" w:hAnsi="Bookman Old Style"/>
          <w:b/>
          <w:snapToGrid/>
          <w:szCs w:val="24"/>
        </w:rPr>
      </w:pPr>
    </w:p>
    <w:p w:rsidR="003E7E91" w:rsidRPr="00D82DF6" w:rsidRDefault="003E7E91" w:rsidP="00D82DF6">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t>AS 23.20.385(b) provides, in part:</w:t>
      </w:r>
    </w:p>
    <w:p w:rsidR="003E7E91" w:rsidRPr="00D82DF6" w:rsidRDefault="003E7E91" w:rsidP="00D82DF6">
      <w:pPr>
        <w:widowControl/>
        <w:autoSpaceDE w:val="0"/>
        <w:autoSpaceDN w:val="0"/>
        <w:adjustRightInd w:val="0"/>
        <w:rPr>
          <w:rFonts w:ascii="Bookman Old Style" w:hAnsi="Bookman Old Style"/>
          <w:snapToGrid/>
          <w:szCs w:val="24"/>
        </w:rPr>
      </w:pPr>
    </w:p>
    <w:p w:rsidR="003E7E91"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rsidR="003E7E91" w:rsidRPr="00D82DF6" w:rsidRDefault="003E7E91" w:rsidP="00D82DF6">
      <w:pPr>
        <w:widowControl/>
        <w:autoSpaceDE w:val="0"/>
        <w:autoSpaceDN w:val="0"/>
        <w:adjustRightInd w:val="0"/>
        <w:ind w:left="1440"/>
        <w:rPr>
          <w:rFonts w:ascii="Bookman Old Style" w:hAnsi="Bookman Old Style"/>
          <w:snapToGrid/>
          <w:szCs w:val="24"/>
        </w:rPr>
      </w:pPr>
      <w:proofErr w:type="gramStart"/>
      <w:r w:rsidRPr="00D82DF6">
        <w:rPr>
          <w:rFonts w:ascii="Bookman Old Style" w:hAnsi="Bookman Old Style"/>
          <w:snapToGrid/>
          <w:szCs w:val="24"/>
        </w:rPr>
        <w:t>other</w:t>
      </w:r>
      <w:proofErr w:type="gramEnd"/>
      <w:r w:rsidRPr="00D82DF6">
        <w:rPr>
          <w:rFonts w:ascii="Bookman Old Style" w:hAnsi="Bookman Old Style"/>
          <w:snapToGrid/>
          <w:szCs w:val="24"/>
        </w:rPr>
        <w:t xml:space="preserve"> factors that influence a reasonably prudent person in the claimant's circumstances.</w:t>
      </w:r>
    </w:p>
    <w:p w:rsidR="0080245E" w:rsidRPr="00D82DF6" w:rsidRDefault="0080245E" w:rsidP="00D82DF6">
      <w:pPr>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CONCLUSION</w:t>
      </w:r>
    </w:p>
    <w:p w:rsidR="00441439" w:rsidRPr="00D82DF6" w:rsidRDefault="00441439" w:rsidP="00D82DF6">
      <w:pPr>
        <w:rPr>
          <w:rFonts w:ascii="Bookman Old Style" w:hAnsi="Bookman Old Style"/>
          <w:szCs w:val="24"/>
        </w:rPr>
      </w:pPr>
    </w:p>
    <w:p w:rsidR="00441439" w:rsidRDefault="00C03AC3" w:rsidP="00D82DF6">
      <w:pPr>
        <w:suppressAutoHyphens/>
        <w:rPr>
          <w:rFonts w:ascii="Bookman Old Style" w:hAnsi="Bookman Old Style"/>
          <w:spacing w:val="-3"/>
          <w:szCs w:val="24"/>
        </w:rPr>
      </w:pPr>
      <w:r>
        <w:rPr>
          <w:rFonts w:ascii="Bookman Old Style" w:hAnsi="Bookman Old Style"/>
          <w:spacing w:val="-3"/>
          <w:szCs w:val="24"/>
        </w:rPr>
        <w:t xml:space="preserve">The claimant voluntarily quit suitable work to relocate so her child could have better access to pediatric care. </w:t>
      </w:r>
    </w:p>
    <w:p w:rsidR="00C03AC3" w:rsidRDefault="00C03AC3" w:rsidP="00D82DF6">
      <w:pPr>
        <w:suppressAutoHyphens/>
        <w:rPr>
          <w:rFonts w:ascii="Bookman Old Style" w:hAnsi="Bookman Old Style"/>
          <w:spacing w:val="-3"/>
          <w:szCs w:val="24"/>
        </w:rPr>
      </w:pPr>
    </w:p>
    <w:p w:rsidR="002279C3" w:rsidRDefault="002279C3" w:rsidP="002279C3">
      <w:pPr>
        <w:suppressAutoHyphens/>
        <w:spacing w:line="264" w:lineRule="auto"/>
        <w:rPr>
          <w:rFonts w:ascii="Bookman Old Style" w:hAnsi="Bookman Old Style"/>
          <w:spacing w:val="-3"/>
        </w:rPr>
      </w:pPr>
      <w:r>
        <w:rPr>
          <w:rFonts w:ascii="Bookman Old Style" w:hAnsi="Bookman Old Style"/>
          <w:spacing w:val="-3"/>
        </w:rPr>
        <w:t xml:space="preserve">Regulation 8 AAC 85.095(c) provides seven reasons that the Department will consider when determining good cause for voluntarily leaving work.  The claimant in this matter did not leave work for one of the allowable reasons.  The regulation also directs the Department to consider the suitability of the work as laid out in AS 23.20.385(b).  The claimant did not establish that the work was a risk to her health, safety or morals, or that she was not physically fit for the work.  This leaves the Tribunal to consider other factors that would influence a reasonably prudent person in the claimant’s circumstances.  </w:t>
      </w:r>
    </w:p>
    <w:p w:rsidR="002279C3" w:rsidRDefault="002279C3" w:rsidP="002279C3">
      <w:pPr>
        <w:suppressAutoHyphens/>
        <w:spacing w:line="264" w:lineRule="auto"/>
        <w:rPr>
          <w:rFonts w:ascii="Bookman Old Style" w:hAnsi="Bookman Old Style"/>
          <w:spacing w:val="-3"/>
        </w:rPr>
      </w:pPr>
    </w:p>
    <w:p w:rsidR="002279C3" w:rsidRDefault="002279C3" w:rsidP="002279C3">
      <w:pPr>
        <w:rPr>
          <w:rFonts w:ascii="Bookman Old Style" w:hAnsi="Bookman Old Style"/>
          <w:szCs w:val="24"/>
        </w:rPr>
      </w:pPr>
      <w:r w:rsidRPr="00E1187D">
        <w:rPr>
          <w:rFonts w:ascii="Bookman Old Style" w:hAnsi="Bookman Old Style"/>
          <w:szCs w:val="24"/>
        </w:rPr>
        <w:t xml:space="preserve">In </w:t>
      </w:r>
      <w:proofErr w:type="spellStart"/>
      <w:r w:rsidRPr="00E1187D">
        <w:rPr>
          <w:rFonts w:ascii="Bookman Old Style" w:hAnsi="Bookman Old Style"/>
          <w:szCs w:val="24"/>
          <w:u w:val="single"/>
        </w:rPr>
        <w:t>Missall</w:t>
      </w:r>
      <w:proofErr w:type="spellEnd"/>
      <w:r>
        <w:rPr>
          <w:rFonts w:ascii="Bookman Old Style" w:hAnsi="Bookman Old Style"/>
          <w:szCs w:val="24"/>
        </w:rPr>
        <w:t>, Com.</w:t>
      </w:r>
      <w:r w:rsidRPr="00E1187D">
        <w:rPr>
          <w:rFonts w:ascii="Bookman Old Style" w:hAnsi="Bookman Old Style"/>
          <w:szCs w:val="24"/>
        </w:rPr>
        <w:t xml:space="preserve"> Dec. 8924740, April 17, 1990, the Commissioner of Labor summarized Department policy regarding what constitutes good cause for </w:t>
      </w:r>
      <w:r w:rsidRPr="00E1187D">
        <w:rPr>
          <w:rFonts w:ascii="Bookman Old Style" w:hAnsi="Bookman Old Style"/>
          <w:szCs w:val="24"/>
        </w:rPr>
        <w:lastRenderedPageBreak/>
        <w:t>voluntarily leaving work.  The Commissioner held, in part:</w:t>
      </w:r>
    </w:p>
    <w:p w:rsidR="002279C3" w:rsidRPr="00E1187D" w:rsidRDefault="002279C3" w:rsidP="002279C3">
      <w:pPr>
        <w:rPr>
          <w:rFonts w:ascii="Bookman Old Style" w:hAnsi="Bookman Old Style"/>
          <w:szCs w:val="24"/>
        </w:rPr>
      </w:pPr>
    </w:p>
    <w:p w:rsidR="002279C3" w:rsidRPr="004A3290" w:rsidRDefault="002279C3" w:rsidP="002279C3">
      <w:pPr>
        <w:ind w:left="720"/>
        <w:rPr>
          <w:i/>
        </w:rPr>
      </w:pPr>
      <w:r w:rsidRPr="004A3290">
        <w:rPr>
          <w:rFonts w:ascii="Bookman Old Style" w:hAnsi="Bookman Old Style"/>
          <w:i/>
          <w:szCs w:val="24"/>
        </w:rPr>
        <w:t xml:space="preserve">The basic definition of good cause is 'circumstances so compelling in nature as to leave the individual no reasonable alternative.' (Cite omitted.) A compelling circumstance is one 'such that the reasonable and prudent person would be justified in quitting his job under similar circumstances.'  (Cite omitted). Therefore, the definition of good cause contains two elements; the reason for the quit must be compelling, and the worker must exhaust all reasonable alternatives before quitting. </w:t>
      </w:r>
    </w:p>
    <w:p w:rsidR="002279C3" w:rsidRDefault="002279C3" w:rsidP="002279C3"/>
    <w:p w:rsidR="00C03AC3" w:rsidRDefault="002279C3" w:rsidP="00D82DF6">
      <w:pPr>
        <w:suppressAutoHyphens/>
        <w:rPr>
          <w:rFonts w:ascii="Bookman Old Style" w:hAnsi="Bookman Old Style"/>
          <w:spacing w:val="-3"/>
          <w:szCs w:val="24"/>
        </w:rPr>
      </w:pPr>
      <w:r>
        <w:rPr>
          <w:rFonts w:ascii="Bookman Old Style" w:hAnsi="Bookman Old Style"/>
          <w:spacing w:val="-3"/>
          <w:szCs w:val="24"/>
        </w:rPr>
        <w:t>The claimant’s concerns about her child’s access to healt</w:t>
      </w:r>
      <w:r w:rsidR="00100FBF">
        <w:rPr>
          <w:rFonts w:ascii="Bookman Old Style" w:hAnsi="Bookman Old Style"/>
          <w:spacing w:val="-3"/>
          <w:szCs w:val="24"/>
        </w:rPr>
        <w:t xml:space="preserve">h care are understandable and parents have a </w:t>
      </w:r>
      <w:r w:rsidR="009059D8">
        <w:rPr>
          <w:rFonts w:ascii="Bookman Old Style" w:hAnsi="Bookman Old Style"/>
          <w:spacing w:val="-3"/>
          <w:szCs w:val="24"/>
        </w:rPr>
        <w:t xml:space="preserve">moral and legal </w:t>
      </w:r>
      <w:r w:rsidR="00100FBF">
        <w:rPr>
          <w:rFonts w:ascii="Bookman Old Style" w:hAnsi="Bookman Old Style"/>
          <w:spacing w:val="-3"/>
          <w:szCs w:val="24"/>
        </w:rPr>
        <w:t xml:space="preserve">responsibility to provide care for </w:t>
      </w:r>
      <w:r w:rsidR="009059D8">
        <w:rPr>
          <w:rFonts w:ascii="Bookman Old Style" w:hAnsi="Bookman Old Style"/>
          <w:spacing w:val="-3"/>
          <w:szCs w:val="24"/>
        </w:rPr>
        <w:t xml:space="preserve">their </w:t>
      </w:r>
      <w:r w:rsidR="00100FBF">
        <w:rPr>
          <w:rFonts w:ascii="Bookman Old Style" w:hAnsi="Bookman Old Style"/>
          <w:spacing w:val="-3"/>
          <w:szCs w:val="24"/>
        </w:rPr>
        <w:t xml:space="preserve">children.  However, the claimant’s child did not have health concerns that would necessitate living near specialty care.  The claimant remained in Adak for four months after deciding to relocate, which does not indicate a compelling need to be near health care.  The claimant did not consider relocating to an area where the employer might have work to transfer her to, she </w:t>
      </w:r>
      <w:r w:rsidR="009059D8">
        <w:rPr>
          <w:rFonts w:ascii="Bookman Old Style" w:hAnsi="Bookman Old Style"/>
          <w:spacing w:val="-3"/>
          <w:szCs w:val="24"/>
        </w:rPr>
        <w:t xml:space="preserve">only </w:t>
      </w:r>
      <w:r w:rsidR="00100FBF">
        <w:rPr>
          <w:rFonts w:ascii="Bookman Old Style" w:hAnsi="Bookman Old Style"/>
          <w:spacing w:val="-3"/>
          <w:szCs w:val="24"/>
        </w:rPr>
        <w:t>asked about the possibility of work in the area where she had decided to relocate near her family.</w:t>
      </w:r>
    </w:p>
    <w:p w:rsidR="00100FBF" w:rsidRDefault="00100FBF" w:rsidP="00D82DF6">
      <w:pPr>
        <w:suppressAutoHyphens/>
        <w:rPr>
          <w:rFonts w:ascii="Bookman Old Style" w:hAnsi="Bookman Old Style"/>
          <w:spacing w:val="-3"/>
          <w:szCs w:val="24"/>
        </w:rPr>
      </w:pPr>
    </w:p>
    <w:p w:rsidR="00100FBF" w:rsidRPr="00D82DF6" w:rsidRDefault="00100FBF" w:rsidP="00D82DF6">
      <w:pPr>
        <w:suppressAutoHyphens/>
        <w:rPr>
          <w:rFonts w:ascii="Bookman Old Style" w:hAnsi="Bookman Old Style"/>
          <w:spacing w:val="-3"/>
          <w:szCs w:val="24"/>
        </w:rPr>
      </w:pPr>
      <w:r>
        <w:rPr>
          <w:rFonts w:ascii="Bookman Old Style" w:hAnsi="Bookman Old Style"/>
          <w:spacing w:val="-3"/>
          <w:szCs w:val="24"/>
        </w:rPr>
        <w:t xml:space="preserve">The Tribunal cannot conclude that the claimant had good cause to voluntarily leave available work at the time she did. The penalties of AS 23.20.379 are appropriate. </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DECISION</w:t>
      </w:r>
    </w:p>
    <w:p w:rsidR="00D82DF6" w:rsidRPr="00D82DF6" w:rsidRDefault="00D82DF6" w:rsidP="00D82DF6">
      <w:pPr>
        <w:tabs>
          <w:tab w:val="left" w:pos="-1440"/>
          <w:tab w:val="left" w:pos="-720"/>
        </w:tabs>
        <w:suppressAutoHyphens/>
        <w:ind w:right="-360"/>
        <w:rPr>
          <w:rFonts w:ascii="Bookman Old Style" w:hAnsi="Bookman Old Style"/>
          <w:szCs w:val="24"/>
        </w:rPr>
      </w:pPr>
    </w:p>
    <w:p w:rsidR="00D82DF6" w:rsidRPr="00D82DF6" w:rsidRDefault="00D82DF6" w:rsidP="00D82DF6">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The determination issued on </w:t>
      </w:r>
      <w:r w:rsidR="00100FBF">
        <w:rPr>
          <w:rFonts w:ascii="Bookman Old Style" w:hAnsi="Bookman Old Style"/>
          <w:szCs w:val="24"/>
        </w:rPr>
        <w:t>February 7, 2020</w:t>
      </w:r>
      <w:r w:rsidRPr="00D82DF6">
        <w:rPr>
          <w:rFonts w:ascii="Bookman Old Style" w:hAnsi="Bookman Old Style"/>
          <w:szCs w:val="24"/>
        </w:rPr>
        <w:t xml:space="preserve"> is </w:t>
      </w:r>
      <w:r w:rsidR="00100FBF">
        <w:rPr>
          <w:rFonts w:ascii="Bookman Old Style" w:hAnsi="Bookman Old Style"/>
          <w:b/>
          <w:szCs w:val="24"/>
        </w:rPr>
        <w:t>AFFIRMED</w:t>
      </w:r>
      <w:r w:rsidRPr="00D82DF6">
        <w:rPr>
          <w:rFonts w:ascii="Bookman Old Style" w:hAnsi="Bookman Old Style"/>
          <w:b/>
          <w:szCs w:val="24"/>
        </w:rPr>
        <w:t xml:space="preserve">. </w:t>
      </w:r>
      <w:r w:rsidRPr="00D82DF6">
        <w:rPr>
          <w:rFonts w:ascii="Bookman Old Style" w:hAnsi="Bookman Old Style"/>
          <w:szCs w:val="24"/>
        </w:rPr>
        <w:t xml:space="preserve">Benefits </w:t>
      </w:r>
      <w:r w:rsidR="00100FBF">
        <w:rPr>
          <w:rFonts w:ascii="Bookman Old Style" w:hAnsi="Bookman Old Style"/>
          <w:szCs w:val="24"/>
        </w:rPr>
        <w:t>remain</w:t>
      </w:r>
      <w:r w:rsidRPr="00D82DF6">
        <w:rPr>
          <w:rFonts w:ascii="Bookman Old Style" w:hAnsi="Bookman Old Style"/>
          <w:szCs w:val="24"/>
        </w:rPr>
        <w:t xml:space="preserve"> </w:t>
      </w:r>
      <w:r w:rsidRPr="00643AF0">
        <w:rPr>
          <w:rFonts w:ascii="Bookman Old Style" w:hAnsi="Bookman Old Style"/>
          <w:b/>
          <w:szCs w:val="24"/>
        </w:rPr>
        <w:t>DENIED</w:t>
      </w:r>
      <w:r w:rsidRPr="00D82DF6">
        <w:rPr>
          <w:rFonts w:ascii="Bookman Old Style" w:hAnsi="Bookman Old Style"/>
          <w:szCs w:val="24"/>
        </w:rPr>
        <w:t xml:space="preserve"> for the weeks ending </w:t>
      </w:r>
      <w:r w:rsidR="00100FBF">
        <w:rPr>
          <w:rFonts w:ascii="Bookman Old Style" w:hAnsi="Bookman Old Style"/>
          <w:szCs w:val="24"/>
        </w:rPr>
        <w:t>November 23, 2019 through December 28, 2019</w:t>
      </w:r>
      <w:r w:rsidRPr="00D82DF6">
        <w:rPr>
          <w:rFonts w:ascii="Bookman Old Style" w:hAnsi="Bookman Old Style"/>
          <w:szCs w:val="24"/>
        </w:rPr>
        <w:t xml:space="preserve">. The three weeks </w:t>
      </w:r>
      <w:r w:rsidR="00100FBF">
        <w:rPr>
          <w:rFonts w:ascii="Bookman Old Style" w:hAnsi="Bookman Old Style"/>
          <w:szCs w:val="24"/>
        </w:rPr>
        <w:t>remain</w:t>
      </w:r>
      <w:r w:rsidRPr="00D82DF6">
        <w:rPr>
          <w:rFonts w:ascii="Bookman Old Style" w:hAnsi="Bookman Old Style"/>
          <w:szCs w:val="24"/>
        </w:rPr>
        <w:t xml:space="preserve"> reduced from the claimant’s maximum benefits. The claimant may not be eligible for extended benefits under AS 23.20.406-409.</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APPEAL RIGHTS</w:t>
      </w:r>
    </w:p>
    <w:p w:rsidR="00441439" w:rsidRPr="00D82DF6" w:rsidRDefault="00441439" w:rsidP="00D82DF6">
      <w:pPr>
        <w:tabs>
          <w:tab w:val="left" w:pos="-1440"/>
          <w:tab w:val="left" w:pos="-720"/>
        </w:tabs>
        <w:rPr>
          <w:rFonts w:ascii="Bookman Old Style" w:hAnsi="Bookman Old Style"/>
          <w:szCs w:val="24"/>
        </w:rPr>
      </w:pPr>
    </w:p>
    <w:p w:rsidR="00D82DF6" w:rsidRPr="00D82DF6" w:rsidRDefault="00D82DF6" w:rsidP="00D82DF6">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B24371" w:rsidP="00D82DF6">
      <w:pPr>
        <w:tabs>
          <w:tab w:val="left" w:pos="-1440"/>
          <w:tab w:val="left" w:pos="-720"/>
        </w:tabs>
        <w:rPr>
          <w:rFonts w:ascii="Bookman Old Style" w:hAnsi="Bookman Old Style"/>
          <w:szCs w:val="24"/>
        </w:rPr>
      </w:pPr>
      <w:r w:rsidRPr="00D82DF6">
        <w:rPr>
          <w:rFonts w:ascii="Bookman Old Style" w:hAnsi="Bookman Old Style"/>
          <w:szCs w:val="24"/>
        </w:rPr>
        <w:t>Dated and m</w:t>
      </w:r>
      <w:r w:rsidR="00441439" w:rsidRPr="00D82DF6">
        <w:rPr>
          <w:rFonts w:ascii="Bookman Old Style" w:hAnsi="Bookman Old Style"/>
          <w:szCs w:val="24"/>
        </w:rPr>
        <w:t xml:space="preserve">ailed on </w:t>
      </w:r>
      <w:r w:rsidR="00100FBF">
        <w:rPr>
          <w:rFonts w:ascii="Bookman Old Style" w:hAnsi="Bookman Old Style"/>
          <w:szCs w:val="24"/>
        </w:rPr>
        <w:t>March 3, 2020</w:t>
      </w:r>
      <w:r w:rsidR="00441439" w:rsidRPr="00D82DF6">
        <w:rPr>
          <w:rFonts w:ascii="Bookman Old Style" w:hAnsi="Bookman Old Style"/>
          <w:szCs w:val="24"/>
        </w:rPr>
        <w:t>.</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tabs>
          <w:tab w:val="left" w:pos="-1440"/>
          <w:tab w:val="left" w:pos="-720"/>
        </w:tabs>
        <w:rPr>
          <w:rFonts w:ascii="Bookman Old Style" w:hAnsi="Bookman Old Style"/>
          <w:szCs w:val="24"/>
        </w:rPr>
      </w:pPr>
    </w:p>
    <w:p w:rsidR="00441439" w:rsidRPr="00D82DF6" w:rsidRDefault="00441439" w:rsidP="00D82DF6">
      <w:pPr>
        <w:tabs>
          <w:tab w:val="left" w:pos="-1440"/>
          <w:tab w:val="left" w:pos="-720"/>
        </w:tabs>
        <w:rPr>
          <w:rFonts w:ascii="Bookman Old Style" w:hAnsi="Bookman Old Style"/>
          <w:szCs w:val="24"/>
        </w:rPr>
      </w:pPr>
    </w:p>
    <w:p w:rsidR="00774034"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100FBF">
        <w:rPr>
          <w:rFonts w:ascii="Bookman Old Style" w:hAnsi="Bookman Old Style"/>
          <w:szCs w:val="24"/>
        </w:rPr>
        <w:t>Rhonda Buness</w:t>
      </w:r>
      <w:r w:rsidRPr="00D82DF6">
        <w:rPr>
          <w:rFonts w:ascii="Bookman Old Style" w:hAnsi="Bookman Old Style"/>
          <w:szCs w:val="24"/>
        </w:rPr>
        <w:t xml:space="preserve">, </w:t>
      </w:r>
      <w:r w:rsidR="00003DC3">
        <w:rPr>
          <w:rFonts w:ascii="Bookman Old Style" w:hAnsi="Bookman Old Style"/>
          <w:szCs w:val="24"/>
        </w:rPr>
        <w:t>Appeals</w:t>
      </w:r>
      <w:r w:rsidRPr="00D82DF6">
        <w:rPr>
          <w:rFonts w:ascii="Bookman Old Style" w:hAnsi="Bookman Old Style"/>
          <w:szCs w:val="24"/>
        </w:rPr>
        <w:t xml:space="preserve"> Officer</w:t>
      </w:r>
    </w:p>
    <w:sectPr w:rsidR="00774034" w:rsidRPr="00D82DF6">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565" w:rsidRDefault="00291565">
      <w:pPr>
        <w:widowControl/>
        <w:spacing w:line="20" w:lineRule="exact"/>
      </w:pPr>
    </w:p>
  </w:endnote>
  <w:endnote w:type="continuationSeparator" w:id="0">
    <w:p w:rsidR="00291565" w:rsidRDefault="00291565">
      <w:r>
        <w:t xml:space="preserve"> </w:t>
      </w:r>
    </w:p>
  </w:endnote>
  <w:endnote w:type="continuationNotice" w:id="1">
    <w:p w:rsidR="00291565" w:rsidRDefault="0029156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565" w:rsidRDefault="00291565">
      <w:r>
        <w:separator/>
      </w:r>
    </w:p>
  </w:footnote>
  <w:footnote w:type="continuationSeparator" w:id="0">
    <w:p w:rsidR="00291565" w:rsidRDefault="00291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A2" w:rsidRPr="00B554BF" w:rsidRDefault="00326C97">
    <w:pPr>
      <w:pStyle w:val="Header"/>
      <w:rPr>
        <w:rFonts w:ascii="Bookman Old Style" w:hAnsi="Bookman Old Style"/>
      </w:rPr>
    </w:pPr>
    <w:r>
      <w:rPr>
        <w:rFonts w:ascii="Bookman Old Style" w:hAnsi="Bookman Old Style"/>
      </w:rPr>
      <w:t>Docket #</w:t>
    </w:r>
    <w:r w:rsidR="005F1D92">
      <w:rPr>
        <w:rFonts w:ascii="Bookman Old Style" w:hAnsi="Bookman Old Style"/>
      </w:rPr>
      <w:t xml:space="preserve"> </w:t>
    </w:r>
    <w:r w:rsidR="00E0764F">
      <w:rPr>
        <w:rFonts w:ascii="Bookman Old Style" w:hAnsi="Bookman Old Style"/>
      </w:rPr>
      <w:t>20 0153</w:t>
    </w:r>
  </w:p>
  <w:p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232A83">
      <w:rPr>
        <w:rStyle w:val="PageNumber"/>
        <w:rFonts w:ascii="Bookman Old Style" w:hAnsi="Bookman Old Style"/>
        <w:noProof/>
      </w:rPr>
      <w:t>2</w:t>
    </w:r>
    <w:r w:rsidRPr="00B554BF">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565"/>
    <w:rsid w:val="00003DC3"/>
    <w:rsid w:val="00026FBD"/>
    <w:rsid w:val="00027F9D"/>
    <w:rsid w:val="00086907"/>
    <w:rsid w:val="000D3B41"/>
    <w:rsid w:val="000D73C2"/>
    <w:rsid w:val="000F5712"/>
    <w:rsid w:val="00100FBF"/>
    <w:rsid w:val="00145E88"/>
    <w:rsid w:val="00193EB9"/>
    <w:rsid w:val="001B73F6"/>
    <w:rsid w:val="002279C3"/>
    <w:rsid w:val="00232A83"/>
    <w:rsid w:val="002529B9"/>
    <w:rsid w:val="00291565"/>
    <w:rsid w:val="002A3C37"/>
    <w:rsid w:val="002C42D3"/>
    <w:rsid w:val="002D5A94"/>
    <w:rsid w:val="0031012B"/>
    <w:rsid w:val="003115E0"/>
    <w:rsid w:val="00326C97"/>
    <w:rsid w:val="003311C5"/>
    <w:rsid w:val="00382877"/>
    <w:rsid w:val="003A5235"/>
    <w:rsid w:val="003B709B"/>
    <w:rsid w:val="003C0ED2"/>
    <w:rsid w:val="003E7E91"/>
    <w:rsid w:val="00405A16"/>
    <w:rsid w:val="00441439"/>
    <w:rsid w:val="00456806"/>
    <w:rsid w:val="004758FD"/>
    <w:rsid w:val="004B0A1E"/>
    <w:rsid w:val="005A281D"/>
    <w:rsid w:val="005A4355"/>
    <w:rsid w:val="005F1D92"/>
    <w:rsid w:val="00643AF0"/>
    <w:rsid w:val="00661D7B"/>
    <w:rsid w:val="00765551"/>
    <w:rsid w:val="00774034"/>
    <w:rsid w:val="007C0440"/>
    <w:rsid w:val="007C774A"/>
    <w:rsid w:val="0080245E"/>
    <w:rsid w:val="008B1CA2"/>
    <w:rsid w:val="008B45DB"/>
    <w:rsid w:val="008F3C72"/>
    <w:rsid w:val="009059D8"/>
    <w:rsid w:val="00931AA2"/>
    <w:rsid w:val="00932DE9"/>
    <w:rsid w:val="009639E3"/>
    <w:rsid w:val="00A51932"/>
    <w:rsid w:val="00A66D6A"/>
    <w:rsid w:val="00AA0015"/>
    <w:rsid w:val="00AD5C90"/>
    <w:rsid w:val="00B23E70"/>
    <w:rsid w:val="00B24371"/>
    <w:rsid w:val="00B554BF"/>
    <w:rsid w:val="00B85F9D"/>
    <w:rsid w:val="00C03AC3"/>
    <w:rsid w:val="00C3767D"/>
    <w:rsid w:val="00C47467"/>
    <w:rsid w:val="00C734D5"/>
    <w:rsid w:val="00C81FB9"/>
    <w:rsid w:val="00D025D4"/>
    <w:rsid w:val="00D26CE3"/>
    <w:rsid w:val="00D829CE"/>
    <w:rsid w:val="00D82DF6"/>
    <w:rsid w:val="00DD54FF"/>
    <w:rsid w:val="00DF1DE2"/>
    <w:rsid w:val="00E0764F"/>
    <w:rsid w:val="00E20AA8"/>
    <w:rsid w:val="00EB0E9D"/>
    <w:rsid w:val="00EB2462"/>
    <w:rsid w:val="00EC3E1C"/>
    <w:rsid w:val="00F0459A"/>
    <w:rsid w:val="00F2294D"/>
    <w:rsid w:val="00FA6CE0"/>
    <w:rsid w:val="00FD077C"/>
    <w:rsid w:val="00FE2B93"/>
    <w:rsid w:val="00FF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1EAF82"/>
  <w15:chartTrackingRefBased/>
  <w15:docId w15:val="{3BE0A5DF-E5D9-44DA-859B-F7BEFA389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alloonText">
    <w:name w:val="Balloon Text"/>
    <w:basedOn w:val="Normal"/>
    <w:link w:val="BalloonTextChar"/>
    <w:uiPriority w:val="99"/>
    <w:semiHidden/>
    <w:unhideWhenUsed/>
    <w:rsid w:val="005F1D92"/>
    <w:rPr>
      <w:rFonts w:ascii="Tahoma" w:hAnsi="Tahoma" w:cs="Tahoma"/>
      <w:sz w:val="16"/>
      <w:szCs w:val="16"/>
    </w:rPr>
  </w:style>
  <w:style w:type="character" w:customStyle="1" w:styleId="BalloonTextChar">
    <w:name w:val="Balloon Text Char"/>
    <w:link w:val="BalloonText"/>
    <w:uiPriority w:val="99"/>
    <w:semiHidden/>
    <w:rsid w:val="005F1D92"/>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6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0%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878B109-5DE7-47CB-BDF0-50A15558A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VL</Template>
  <TotalTime>1</TotalTime>
  <Pages>4</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2020-03-03T23:13:00Z</cp:lastPrinted>
  <dcterms:created xsi:type="dcterms:W3CDTF">2020-03-03T23:14:00Z</dcterms:created>
  <dcterms:modified xsi:type="dcterms:W3CDTF">2020-03-03T23:14:00Z</dcterms:modified>
</cp:coreProperties>
</file>