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3121F5"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E23B0D">
        <w:rPr>
          <w:rFonts w:ascii="Bookman Old Style" w:hAnsi="Bookman Old Style"/>
          <w:szCs w:val="24"/>
        </w:rPr>
        <w:t>20 0300</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E23B0D">
        <w:rPr>
          <w:rFonts w:ascii="Bookman Old Style" w:hAnsi="Bookman Old Style"/>
          <w:szCs w:val="24"/>
        </w:rPr>
        <w:t>April 30,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E23B0D" w:rsidRPr="00E23B0D" w:rsidRDefault="00E23B0D" w:rsidP="00E23B0D">
      <w:pPr>
        <w:widowControl/>
        <w:tabs>
          <w:tab w:val="left" w:pos="-1440"/>
          <w:tab w:val="left" w:pos="-720"/>
          <w:tab w:val="left" w:pos="0"/>
          <w:tab w:val="left" w:pos="5760"/>
        </w:tabs>
        <w:suppressAutoHyphens/>
        <w:ind w:right="-360"/>
        <w:rPr>
          <w:rFonts w:ascii="Bookman Old Style" w:hAnsi="Bookman Old Style"/>
          <w:szCs w:val="24"/>
        </w:rPr>
      </w:pPr>
      <w:r w:rsidRPr="00E23B0D">
        <w:rPr>
          <w:rFonts w:ascii="Bookman Old Style" w:hAnsi="Bookman Old Style"/>
          <w:szCs w:val="24"/>
        </w:rPr>
        <w:t>AARON GRAY</w:t>
      </w:r>
      <w:r>
        <w:rPr>
          <w:rFonts w:ascii="Bookman Old Style" w:hAnsi="Bookman Old Style"/>
          <w:szCs w:val="24"/>
        </w:rPr>
        <w:tab/>
      </w:r>
      <w:r w:rsidRPr="00E23B0D">
        <w:rPr>
          <w:rFonts w:ascii="Bookman Old Style" w:hAnsi="Bookman Old Style"/>
          <w:szCs w:val="24"/>
        </w:rPr>
        <w:t>LAKE OTIS PHARMACY INC</w:t>
      </w:r>
    </w:p>
    <w:p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0C6929" w:rsidRDefault="000C6929" w:rsidP="00D82DF6">
      <w:pPr>
        <w:widowControl/>
        <w:tabs>
          <w:tab w:val="left" w:pos="-1440"/>
          <w:tab w:val="left" w:pos="-720"/>
          <w:tab w:val="left" w:pos="0"/>
          <w:tab w:val="left" w:pos="5760"/>
        </w:tabs>
        <w:suppressAutoHyphens/>
        <w:ind w:right="-360"/>
        <w:rPr>
          <w:rFonts w:ascii="Bookman Old Style" w:hAnsi="Bookman Old Style"/>
          <w:szCs w:val="24"/>
        </w:rPr>
      </w:pPr>
    </w:p>
    <w:p w:rsidR="000C6929" w:rsidRPr="00D82DF6" w:rsidRDefault="000C6929" w:rsidP="00D82DF6">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E23B0D"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Aaron Gray</w:t>
      </w:r>
      <w:r w:rsidR="00441439" w:rsidRPr="00D82DF6">
        <w:rPr>
          <w:rFonts w:ascii="Bookman Old Style" w:hAnsi="Bookman Old Style"/>
          <w:szCs w:val="24"/>
        </w:rPr>
        <w:tab/>
      </w:r>
      <w:r w:rsidR="0080243C">
        <w:rPr>
          <w:rFonts w:ascii="Bookman Old Style" w:hAnsi="Bookman Old Style"/>
          <w:szCs w:val="24"/>
        </w:rPr>
        <w:t xml:space="preserve">Joe </w:t>
      </w:r>
      <w:proofErr w:type="spellStart"/>
      <w:r w:rsidR="0080243C">
        <w:rPr>
          <w:rFonts w:ascii="Bookman Old Style" w:hAnsi="Bookman Old Style"/>
          <w:szCs w:val="24"/>
        </w:rPr>
        <w:t>Vergnetti</w:t>
      </w:r>
      <w:proofErr w:type="spellEnd"/>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80243C">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80243C">
        <w:rPr>
          <w:rFonts w:ascii="Bookman Old Style" w:hAnsi="Bookman Old Style"/>
          <w:snapToGrid/>
          <w:szCs w:val="24"/>
        </w:rPr>
        <w:t>March 26,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80243C">
        <w:rPr>
          <w:rFonts w:ascii="Bookman Old Style" w:hAnsi="Bookman Old Style"/>
          <w:snapToGrid/>
          <w:szCs w:val="24"/>
        </w:rPr>
        <w:t>August 12, 2019</w:t>
      </w:r>
      <w:r w:rsidRPr="00D82DF6">
        <w:rPr>
          <w:rFonts w:ascii="Bookman Old Style" w:hAnsi="Bookman Old Style"/>
          <w:snapToGrid/>
          <w:szCs w:val="24"/>
        </w:rPr>
        <w:t xml:space="preserve">. </w:t>
      </w:r>
      <w:r w:rsidR="0080243C">
        <w:rPr>
          <w:rFonts w:ascii="Bookman Old Style" w:hAnsi="Bookman Old Style"/>
          <w:snapToGrid/>
          <w:szCs w:val="24"/>
        </w:rPr>
        <w:t>He</w:t>
      </w:r>
      <w:r w:rsidRPr="00D82DF6">
        <w:rPr>
          <w:rFonts w:ascii="Bookman Old Style" w:hAnsi="Bookman Old Style"/>
          <w:snapToGrid/>
          <w:szCs w:val="24"/>
        </w:rPr>
        <w:t xml:space="preserve"> last worked on </w:t>
      </w:r>
      <w:r w:rsidR="0080243C">
        <w:rPr>
          <w:rFonts w:ascii="Bookman Old Style" w:hAnsi="Bookman Old Style"/>
          <w:snapToGrid/>
          <w:szCs w:val="24"/>
        </w:rPr>
        <w:t>March 16, 2020</w:t>
      </w:r>
      <w:r w:rsidRPr="00D82DF6">
        <w:rPr>
          <w:rFonts w:ascii="Bookman Old Style" w:hAnsi="Bookman Old Style"/>
          <w:snapToGrid/>
          <w:szCs w:val="24"/>
        </w:rPr>
        <w:t xml:space="preserve">. At that time, </w:t>
      </w:r>
      <w:r w:rsidR="0080243C">
        <w:rPr>
          <w:rFonts w:ascii="Bookman Old Style" w:hAnsi="Bookman Old Style"/>
          <w:snapToGrid/>
          <w:szCs w:val="24"/>
        </w:rPr>
        <w:t>he</w:t>
      </w:r>
      <w:r w:rsidRPr="00D82DF6">
        <w:rPr>
          <w:rFonts w:ascii="Bookman Old Style" w:hAnsi="Bookman Old Style"/>
          <w:snapToGrid/>
          <w:szCs w:val="24"/>
        </w:rPr>
        <w:t xml:space="preserve"> worked </w:t>
      </w:r>
      <w:r w:rsidR="0080243C">
        <w:rPr>
          <w:rFonts w:ascii="Bookman Old Style" w:hAnsi="Bookman Old Style"/>
          <w:snapToGrid/>
          <w:szCs w:val="24"/>
        </w:rPr>
        <w:t>full time</w:t>
      </w:r>
      <w:r w:rsidRPr="00D82DF6">
        <w:rPr>
          <w:rFonts w:ascii="Bookman Old Style" w:hAnsi="Bookman Old Style"/>
          <w:snapToGrid/>
          <w:szCs w:val="24"/>
        </w:rPr>
        <w:t xml:space="preserve"> as a </w:t>
      </w:r>
      <w:r w:rsidR="0080243C">
        <w:rPr>
          <w:rFonts w:ascii="Bookman Old Style" w:hAnsi="Bookman Old Style"/>
          <w:snapToGrid/>
          <w:szCs w:val="24"/>
        </w:rPr>
        <w:t>customer service representative</w:t>
      </w:r>
      <w:r w:rsidRPr="00D82DF6">
        <w:rPr>
          <w:rFonts w:ascii="Bookman Old Style" w:hAnsi="Bookman Old Style"/>
          <w:snapToGrid/>
          <w:szCs w:val="24"/>
        </w:rPr>
        <w:t>.</w:t>
      </w:r>
    </w:p>
    <w:p w:rsidR="0080243C" w:rsidRDefault="0080243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February 21, 2020, the owner held a staff meeting and issued a memo </w:t>
      </w:r>
      <w:r w:rsidR="007A0121">
        <w:rPr>
          <w:rFonts w:ascii="Bookman Old Style" w:hAnsi="Bookman Old Style"/>
          <w:snapToGrid/>
          <w:szCs w:val="24"/>
        </w:rPr>
        <w:t>requiring all employee</w:t>
      </w:r>
      <w:r>
        <w:rPr>
          <w:rFonts w:ascii="Bookman Old Style" w:hAnsi="Bookman Old Style"/>
          <w:snapToGrid/>
          <w:szCs w:val="24"/>
        </w:rPr>
        <w:t xml:space="preserve">s to check customer identification when accepting credit card payments, </w:t>
      </w:r>
      <w:r w:rsidR="00090560">
        <w:rPr>
          <w:rFonts w:ascii="Bookman Old Style" w:hAnsi="Bookman Old Style"/>
          <w:snapToGrid/>
          <w:szCs w:val="24"/>
        </w:rPr>
        <w:t xml:space="preserve">check all currency larger than </w:t>
      </w:r>
      <w:r>
        <w:rPr>
          <w:rFonts w:ascii="Bookman Old Style" w:hAnsi="Bookman Old Style"/>
          <w:snapToGrid/>
          <w:szCs w:val="24"/>
        </w:rPr>
        <w:t xml:space="preserve">$20 and higher for authenticity, get the owner’s approvals for all returns and discounts, clock out for personal breaks, and to check with the owner directly when unsure how to handle a situation.  </w:t>
      </w:r>
      <w:r w:rsidR="007A0121">
        <w:rPr>
          <w:rFonts w:ascii="Bookman Old Style" w:hAnsi="Bookman Old Style"/>
          <w:snapToGrid/>
          <w:szCs w:val="24"/>
        </w:rPr>
        <w:t xml:space="preserve">The owner held the meeting and issued the memo because he was dissatisfied with </w:t>
      </w:r>
      <w:r w:rsidR="00090560">
        <w:rPr>
          <w:rFonts w:ascii="Bookman Old Style" w:hAnsi="Bookman Old Style"/>
          <w:snapToGrid/>
          <w:szCs w:val="24"/>
        </w:rPr>
        <w:t xml:space="preserve">some aspects of </w:t>
      </w:r>
      <w:r w:rsidR="007A0121">
        <w:rPr>
          <w:rFonts w:ascii="Bookman Old Style" w:hAnsi="Bookman Old Style"/>
          <w:snapToGrid/>
          <w:szCs w:val="24"/>
        </w:rPr>
        <w:t xml:space="preserve">the claimant’s performance </w:t>
      </w:r>
      <w:r w:rsidR="00090560">
        <w:rPr>
          <w:rFonts w:ascii="Bookman Old Style" w:hAnsi="Bookman Old Style"/>
          <w:snapToGrid/>
          <w:szCs w:val="24"/>
        </w:rPr>
        <w:t xml:space="preserve">in those areas </w:t>
      </w:r>
      <w:r w:rsidR="007A0121">
        <w:rPr>
          <w:rFonts w:ascii="Bookman Old Style" w:hAnsi="Bookman Old Style"/>
          <w:snapToGrid/>
          <w:szCs w:val="24"/>
        </w:rPr>
        <w:t xml:space="preserve">and hoped this would improve it.  He did not single the claimant </w:t>
      </w:r>
      <w:r w:rsidR="00090560">
        <w:rPr>
          <w:rFonts w:ascii="Bookman Old Style" w:hAnsi="Bookman Old Style"/>
          <w:snapToGrid/>
          <w:szCs w:val="24"/>
        </w:rPr>
        <w:t xml:space="preserve">out </w:t>
      </w:r>
      <w:r w:rsidR="007A0121">
        <w:rPr>
          <w:rFonts w:ascii="Bookman Old Style" w:hAnsi="Bookman Old Style"/>
          <w:snapToGrid/>
          <w:szCs w:val="24"/>
        </w:rPr>
        <w:t xml:space="preserve">in the meeting.  </w:t>
      </w:r>
      <w:r w:rsidR="00090560">
        <w:rPr>
          <w:rFonts w:ascii="Bookman Old Style" w:hAnsi="Bookman Old Style"/>
          <w:snapToGrid/>
          <w:szCs w:val="24"/>
        </w:rPr>
        <w:t>The claimant believed the memo and the meeting were directed at him</w:t>
      </w:r>
      <w:r w:rsidR="00CE61C1">
        <w:rPr>
          <w:rFonts w:ascii="Bookman Old Style" w:hAnsi="Bookman Old Style"/>
          <w:snapToGrid/>
          <w:szCs w:val="24"/>
        </w:rPr>
        <w:t xml:space="preserve"> because the owner had frequently corrected the claimant.  The claimant</w:t>
      </w:r>
      <w:r w:rsidR="00090560">
        <w:rPr>
          <w:rFonts w:ascii="Bookman Old Style" w:hAnsi="Bookman Old Style"/>
          <w:snapToGrid/>
          <w:szCs w:val="24"/>
        </w:rPr>
        <w:t xml:space="preserve"> signed the memo, but did not read it.</w:t>
      </w:r>
    </w:p>
    <w:p w:rsidR="007A0121" w:rsidRDefault="0080243C"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March 13, 2020, the claimant was scheduled to deliver an assistive bed to a customer with </w:t>
      </w:r>
      <w:r w:rsidR="00CE61C1">
        <w:rPr>
          <w:rFonts w:ascii="Bookman Old Style" w:hAnsi="Bookman Old Style"/>
          <w:snapToGrid/>
          <w:szCs w:val="24"/>
        </w:rPr>
        <w:t>a senior</w:t>
      </w:r>
      <w:r>
        <w:rPr>
          <w:rFonts w:ascii="Bookman Old Style" w:hAnsi="Bookman Old Style"/>
          <w:snapToGrid/>
          <w:szCs w:val="24"/>
        </w:rPr>
        <w:t xml:space="preserve"> employee, who was second in command to the owner.  The </w:t>
      </w:r>
      <w:r w:rsidR="00CE61C1">
        <w:rPr>
          <w:rFonts w:ascii="Bookman Old Style" w:hAnsi="Bookman Old Style"/>
          <w:snapToGrid/>
          <w:szCs w:val="24"/>
        </w:rPr>
        <w:t>senior</w:t>
      </w:r>
      <w:r>
        <w:rPr>
          <w:rFonts w:ascii="Bookman Old Style" w:hAnsi="Bookman Old Style"/>
          <w:snapToGrid/>
          <w:szCs w:val="24"/>
        </w:rPr>
        <w:t xml:space="preserve"> employee was at a d</w:t>
      </w:r>
      <w:r w:rsidR="007A0121">
        <w:rPr>
          <w:rFonts w:ascii="Bookman Old Style" w:hAnsi="Bookman Old Style"/>
          <w:snapToGrid/>
          <w:szCs w:val="24"/>
        </w:rPr>
        <w:t>oc</w:t>
      </w:r>
      <w:r>
        <w:rPr>
          <w:rFonts w:ascii="Bookman Old Style" w:hAnsi="Bookman Old Style"/>
          <w:snapToGrid/>
          <w:szCs w:val="24"/>
        </w:rPr>
        <w:t xml:space="preserve">tor’s appointment, so the claimant set out to get the </w:t>
      </w:r>
      <w:r>
        <w:rPr>
          <w:rFonts w:ascii="Bookman Old Style" w:hAnsi="Bookman Old Style"/>
          <w:snapToGrid/>
          <w:szCs w:val="24"/>
        </w:rPr>
        <w:lastRenderedPageBreak/>
        <w:t>bed</w:t>
      </w:r>
      <w:r w:rsidR="007A0121">
        <w:rPr>
          <w:rFonts w:ascii="Bookman Old Style" w:hAnsi="Bookman Old Style"/>
          <w:snapToGrid/>
          <w:szCs w:val="24"/>
        </w:rPr>
        <w:t xml:space="preserve"> from a storage container outside the place of business</w:t>
      </w:r>
      <w:r>
        <w:rPr>
          <w:rFonts w:ascii="Bookman Old Style" w:hAnsi="Bookman Old Style"/>
          <w:snapToGrid/>
          <w:szCs w:val="24"/>
        </w:rPr>
        <w:t xml:space="preserve">. He located two beds in </w:t>
      </w:r>
      <w:r w:rsidR="007A0121">
        <w:rPr>
          <w:rFonts w:ascii="Bookman Old Style" w:hAnsi="Bookman Old Style"/>
          <w:snapToGrid/>
          <w:szCs w:val="24"/>
        </w:rPr>
        <w:t xml:space="preserve">a container, but they were not the fully assistive bed that was ordered.  The claimant called the </w:t>
      </w:r>
      <w:r w:rsidR="00CE61C1">
        <w:rPr>
          <w:rFonts w:ascii="Bookman Old Style" w:hAnsi="Bookman Old Style"/>
          <w:snapToGrid/>
          <w:szCs w:val="24"/>
        </w:rPr>
        <w:t>senior</w:t>
      </w:r>
      <w:r w:rsidR="007A0121">
        <w:rPr>
          <w:rFonts w:ascii="Bookman Old Style" w:hAnsi="Bookman Old Style"/>
          <w:snapToGrid/>
          <w:szCs w:val="24"/>
        </w:rPr>
        <w:t xml:space="preserve"> employee at his appointment and asked what he should do. The </w:t>
      </w:r>
      <w:r w:rsidR="00CE61C1">
        <w:rPr>
          <w:rFonts w:ascii="Bookman Old Style" w:hAnsi="Bookman Old Style"/>
          <w:snapToGrid/>
          <w:szCs w:val="24"/>
        </w:rPr>
        <w:t xml:space="preserve">senior </w:t>
      </w:r>
      <w:r w:rsidR="007A0121">
        <w:rPr>
          <w:rFonts w:ascii="Bookman Old Style" w:hAnsi="Bookman Old Style"/>
          <w:snapToGrid/>
          <w:szCs w:val="24"/>
        </w:rPr>
        <w:t>employee told him the correct bed could be in another container, and if not, he could wait on the delivery, or</w:t>
      </w:r>
      <w:r w:rsidR="00CE61C1">
        <w:rPr>
          <w:rFonts w:ascii="Bookman Old Style" w:hAnsi="Bookman Old Style"/>
          <w:snapToGrid/>
          <w:szCs w:val="24"/>
        </w:rPr>
        <w:t xml:space="preserve"> if there was no bed available, he could</w:t>
      </w:r>
      <w:r w:rsidR="007A0121">
        <w:rPr>
          <w:rFonts w:ascii="Bookman Old Style" w:hAnsi="Bookman Old Style"/>
          <w:snapToGrid/>
          <w:szCs w:val="24"/>
        </w:rPr>
        <w:t xml:space="preserve"> deliver the lesser product and then switch it with the right bed when it was located. The claimant found the lock on the other container was frozen and he could not open it.  He delivered the lesser bed to the customer with a promise to switch it </w:t>
      </w:r>
      <w:r w:rsidR="00CE61C1">
        <w:rPr>
          <w:rFonts w:ascii="Bookman Old Style" w:hAnsi="Bookman Old Style"/>
          <w:snapToGrid/>
          <w:szCs w:val="24"/>
        </w:rPr>
        <w:t xml:space="preserve">with the correct bed </w:t>
      </w:r>
      <w:r w:rsidR="007A0121">
        <w:rPr>
          <w:rFonts w:ascii="Bookman Old Style" w:hAnsi="Bookman Old Style"/>
          <w:snapToGrid/>
          <w:szCs w:val="24"/>
        </w:rPr>
        <w:t>later.</w:t>
      </w:r>
    </w:p>
    <w:p w:rsidR="00F72C77" w:rsidRDefault="007A0121"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owner was inside the business at the time the claimant was looking for the bed, but he claimant did not want to approach the owner.  The claimant felt that he </w:t>
      </w:r>
      <w:r w:rsidR="00CE61C1">
        <w:rPr>
          <w:rFonts w:ascii="Bookman Old Style" w:hAnsi="Bookman Old Style"/>
          <w:snapToGrid/>
          <w:szCs w:val="24"/>
        </w:rPr>
        <w:t>had</w:t>
      </w:r>
      <w:r>
        <w:rPr>
          <w:rFonts w:ascii="Bookman Old Style" w:hAnsi="Bookman Old Style"/>
          <w:snapToGrid/>
          <w:szCs w:val="24"/>
        </w:rPr>
        <w:t xml:space="preserve"> not </w:t>
      </w:r>
      <w:r w:rsidR="00CE61C1">
        <w:rPr>
          <w:rFonts w:ascii="Bookman Old Style" w:hAnsi="Bookman Old Style"/>
          <w:snapToGrid/>
          <w:szCs w:val="24"/>
        </w:rPr>
        <w:t xml:space="preserve">been </w:t>
      </w:r>
      <w:r>
        <w:rPr>
          <w:rFonts w:ascii="Bookman Old Style" w:hAnsi="Bookman Old Style"/>
          <w:snapToGrid/>
          <w:szCs w:val="24"/>
        </w:rPr>
        <w:t xml:space="preserve">properly trained for his duties.  He felt like he was singled out for criticism by the owner and he was yelled at for doing things </w:t>
      </w:r>
      <w:r w:rsidR="00F72C77">
        <w:rPr>
          <w:rFonts w:ascii="Bookman Old Style" w:hAnsi="Bookman Old Style"/>
          <w:snapToGrid/>
          <w:szCs w:val="24"/>
        </w:rPr>
        <w:t xml:space="preserve">the way </w:t>
      </w:r>
      <w:r>
        <w:rPr>
          <w:rFonts w:ascii="Bookman Old Style" w:hAnsi="Bookman Old Style"/>
          <w:snapToGrid/>
          <w:szCs w:val="24"/>
        </w:rPr>
        <w:t xml:space="preserve">he had watched other employees doing them. He found </w:t>
      </w:r>
      <w:r w:rsidR="00CE61C1">
        <w:rPr>
          <w:rFonts w:ascii="Bookman Old Style" w:hAnsi="Bookman Old Style"/>
          <w:snapToGrid/>
          <w:szCs w:val="24"/>
        </w:rPr>
        <w:t>that</w:t>
      </w:r>
      <w:r w:rsidR="00F72C77">
        <w:rPr>
          <w:rFonts w:ascii="Bookman Old Style" w:hAnsi="Bookman Old Style"/>
          <w:snapToGrid/>
          <w:szCs w:val="24"/>
        </w:rPr>
        <w:t xml:space="preserve"> when approached, </w:t>
      </w:r>
      <w:r>
        <w:rPr>
          <w:rFonts w:ascii="Bookman Old Style" w:hAnsi="Bookman Old Style"/>
          <w:snapToGrid/>
          <w:szCs w:val="24"/>
        </w:rPr>
        <w:t xml:space="preserve">the owner often told him to </w:t>
      </w:r>
      <w:r w:rsidR="00F72C77">
        <w:rPr>
          <w:rFonts w:ascii="Bookman Old Style" w:hAnsi="Bookman Old Style"/>
          <w:snapToGrid/>
          <w:szCs w:val="24"/>
        </w:rPr>
        <w:t xml:space="preserve">go </w:t>
      </w:r>
      <w:r>
        <w:rPr>
          <w:rFonts w:ascii="Bookman Old Style" w:hAnsi="Bookman Old Style"/>
          <w:snapToGrid/>
          <w:szCs w:val="24"/>
        </w:rPr>
        <w:t xml:space="preserve">ask the </w:t>
      </w:r>
      <w:r w:rsidR="00CE61C1">
        <w:rPr>
          <w:rFonts w:ascii="Bookman Old Style" w:hAnsi="Bookman Old Style"/>
          <w:snapToGrid/>
          <w:szCs w:val="24"/>
        </w:rPr>
        <w:t>senior employee</w:t>
      </w:r>
      <w:r>
        <w:rPr>
          <w:rFonts w:ascii="Bookman Old Style" w:hAnsi="Bookman Old Style"/>
          <w:snapToGrid/>
          <w:szCs w:val="24"/>
        </w:rPr>
        <w:t xml:space="preserve"> his questions.  </w:t>
      </w:r>
    </w:p>
    <w:p w:rsidR="0080243C" w:rsidRDefault="00CA629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stressed by the atmosphere at work. He felt it was affecting his health because he wasn’t sleeping, was over-eating and his marriage was suffering.  The claimant had </w:t>
      </w:r>
      <w:r w:rsidR="00CE61C1">
        <w:rPr>
          <w:rFonts w:ascii="Bookman Old Style" w:hAnsi="Bookman Old Style"/>
          <w:snapToGrid/>
          <w:szCs w:val="24"/>
        </w:rPr>
        <w:t>attempted to make</w:t>
      </w:r>
      <w:r>
        <w:rPr>
          <w:rFonts w:ascii="Bookman Old Style" w:hAnsi="Bookman Old Style"/>
          <w:snapToGrid/>
          <w:szCs w:val="24"/>
        </w:rPr>
        <w:t xml:space="preserve"> a doctor’</w:t>
      </w:r>
      <w:r w:rsidR="00CE61C1">
        <w:rPr>
          <w:rFonts w:ascii="Bookman Old Style" w:hAnsi="Bookman Old Style"/>
          <w:snapToGrid/>
          <w:szCs w:val="24"/>
        </w:rPr>
        <w:t>s appointment, but</w:t>
      </w:r>
      <w:r>
        <w:rPr>
          <w:rFonts w:ascii="Bookman Old Style" w:hAnsi="Bookman Old Style"/>
          <w:snapToGrid/>
          <w:szCs w:val="24"/>
        </w:rPr>
        <w:t xml:space="preserve"> had been delayed and he had not </w:t>
      </w:r>
      <w:r w:rsidR="00CE61C1">
        <w:rPr>
          <w:rFonts w:ascii="Bookman Old Style" w:hAnsi="Bookman Old Style"/>
          <w:snapToGrid/>
          <w:szCs w:val="24"/>
        </w:rPr>
        <w:t>consulted</w:t>
      </w:r>
      <w:r>
        <w:rPr>
          <w:rFonts w:ascii="Bookman Old Style" w:hAnsi="Bookman Old Style"/>
          <w:snapToGrid/>
          <w:szCs w:val="24"/>
        </w:rPr>
        <w:t xml:space="preserve"> a medical provider at the time the work ended.  </w:t>
      </w:r>
    </w:p>
    <w:p w:rsidR="00CA629A" w:rsidRDefault="00CA629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Monday, March 16, 2020, the owner presented the claimant with a performance improvement plan document. The document stated the owner believed the claimant was dishonest because he had not communicated all the details of the bed delivery issue</w:t>
      </w:r>
      <w:r w:rsidR="00CE61C1">
        <w:rPr>
          <w:rFonts w:ascii="Bookman Old Style" w:hAnsi="Bookman Old Style"/>
          <w:snapToGrid/>
          <w:szCs w:val="24"/>
        </w:rPr>
        <w:t xml:space="preserve"> the previous Friday</w:t>
      </w:r>
      <w:r>
        <w:rPr>
          <w:rFonts w:ascii="Bookman Old Style" w:hAnsi="Bookman Old Style"/>
          <w:snapToGrid/>
          <w:szCs w:val="24"/>
        </w:rPr>
        <w:t xml:space="preserve">. The performance plan directed the claimant to communicate honestly and provide full details, to communicate </w:t>
      </w:r>
      <w:r w:rsidR="00F72C77">
        <w:rPr>
          <w:rFonts w:ascii="Bookman Old Style" w:hAnsi="Bookman Old Style"/>
          <w:snapToGrid/>
          <w:szCs w:val="24"/>
        </w:rPr>
        <w:t>any deviation from full payment and</w:t>
      </w:r>
      <w:r>
        <w:rPr>
          <w:rFonts w:ascii="Bookman Old Style" w:hAnsi="Bookman Old Style"/>
          <w:snapToGrid/>
          <w:szCs w:val="24"/>
        </w:rPr>
        <w:t xml:space="preserve"> any refund or adjustment directly with the owner, and to give the owner all of his paperwork to review before submitting it. </w:t>
      </w:r>
    </w:p>
    <w:p w:rsidR="00D82DF6" w:rsidRPr="00D82DF6" w:rsidRDefault="00CA629A"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believed the employer’s document was accusing him of wrongdoing and he did not agree he had done anything wrong.  He refused to sign the document.  The claimant believed the owner would discharge him for refusing to sign the performance improvement plan.  The claimant believed it would be better for him to have quit than </w:t>
      </w:r>
      <w:r w:rsidR="00CE61C1">
        <w:rPr>
          <w:rFonts w:ascii="Bookman Old Style" w:hAnsi="Bookman Old Style"/>
          <w:snapToGrid/>
          <w:szCs w:val="24"/>
        </w:rPr>
        <w:t xml:space="preserve">to </w:t>
      </w:r>
      <w:r>
        <w:rPr>
          <w:rFonts w:ascii="Bookman Old Style" w:hAnsi="Bookman Old Style"/>
          <w:snapToGrid/>
          <w:szCs w:val="24"/>
        </w:rPr>
        <w:t xml:space="preserve">be fired, so he told the owner he was quitting and left.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lastRenderedPageBreak/>
        <w:t>left</w:t>
      </w:r>
      <w:proofErr w:type="gramEnd"/>
      <w:r w:rsidRPr="00D82DF6">
        <w:rPr>
          <w:rFonts w:ascii="Bookman Old Style" w:hAnsi="Bookman Old Style"/>
          <w:szCs w:val="24"/>
        </w:rPr>
        <w:t xml:space="preserve"> the insured worker's last suitable work voluntarily without  good cause....</w:t>
      </w:r>
    </w:p>
    <w:p w:rsidR="00F72C77" w:rsidRPr="00D82DF6" w:rsidRDefault="00F72C77"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 xml:space="preserve">In determining whether work is suitable for a claimant and in determining the existence of good cause for leaving or refusing work, the department shall, in addition to determining the </w:t>
      </w:r>
      <w:r w:rsidRPr="00D82DF6">
        <w:rPr>
          <w:rFonts w:ascii="Bookman Old Style" w:hAnsi="Bookman Old Style"/>
          <w:snapToGrid/>
          <w:szCs w:val="24"/>
        </w:rPr>
        <w:lastRenderedPageBreak/>
        <w:t>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F16895" w:rsidRDefault="00F16895" w:rsidP="00D82DF6">
      <w:pPr>
        <w:rPr>
          <w:rFonts w:ascii="Bookman Old Style" w:hAnsi="Bookman Old Style"/>
          <w:szCs w:val="24"/>
        </w:rPr>
      </w:pPr>
    </w:p>
    <w:p w:rsidR="00F16895" w:rsidRDefault="00E06A34" w:rsidP="00D82DF6">
      <w:pPr>
        <w:rPr>
          <w:rFonts w:ascii="Bookman Old Style" w:hAnsi="Bookman Old Style"/>
          <w:szCs w:val="24"/>
        </w:rPr>
      </w:pPr>
      <w:r>
        <w:rPr>
          <w:rFonts w:ascii="Bookman Old Style" w:hAnsi="Bookman Old Style"/>
          <w:szCs w:val="24"/>
        </w:rPr>
        <w:t xml:space="preserve">The claimant in this case voluntarily quit </w:t>
      </w:r>
      <w:r w:rsidR="00F16895">
        <w:rPr>
          <w:rFonts w:ascii="Bookman Old Style" w:hAnsi="Bookman Old Style"/>
          <w:szCs w:val="24"/>
        </w:rPr>
        <w:t>work when the employer required him to sign a performance improvement plan.  The claimant did not agree with the employer’</w:t>
      </w:r>
      <w:r w:rsidR="00CE61C1">
        <w:rPr>
          <w:rFonts w:ascii="Bookman Old Style" w:hAnsi="Bookman Old Style"/>
          <w:szCs w:val="24"/>
        </w:rPr>
        <w:t>s conclusion</w:t>
      </w:r>
      <w:r w:rsidR="00F16895">
        <w:rPr>
          <w:rFonts w:ascii="Bookman Old Style" w:hAnsi="Bookman Old Style"/>
          <w:szCs w:val="24"/>
        </w:rPr>
        <w:t xml:space="preserve"> that he had acted incorrectly.  The claimant believed he would be discharged for his refusal to sign, so he voluntarily quit the work.  </w:t>
      </w:r>
    </w:p>
    <w:p w:rsidR="00E06A34" w:rsidRPr="00E06A34" w:rsidRDefault="00E06A34" w:rsidP="002D604D">
      <w:pPr>
        <w:tabs>
          <w:tab w:val="left" w:pos="-720"/>
        </w:tabs>
        <w:suppressAutoHyphens/>
        <w:rPr>
          <w:rFonts w:ascii="Bookman Old Style" w:hAnsi="Bookman Old Style"/>
          <w:i/>
        </w:rPr>
      </w:pPr>
    </w:p>
    <w:p w:rsidR="002D604D" w:rsidRDefault="002D604D" w:rsidP="00E06A34">
      <w:pPr>
        <w:tabs>
          <w:tab w:val="left" w:pos="-720"/>
        </w:tabs>
        <w:suppressAutoHyphens/>
        <w:rPr>
          <w:rFonts w:ascii="Bookman Old Style" w:hAnsi="Bookman Old Style"/>
        </w:rPr>
      </w:pPr>
      <w:r>
        <w:rPr>
          <w:rFonts w:ascii="Bookman Old Style" w:hAnsi="Bookman Old Style"/>
        </w:rPr>
        <w:t>The claimant</w:t>
      </w:r>
      <w:r w:rsidR="00F16895">
        <w:rPr>
          <w:rFonts w:ascii="Bookman Old Style" w:hAnsi="Bookman Old Style"/>
        </w:rPr>
        <w:t xml:space="preserve"> held that </w:t>
      </w:r>
      <w:r>
        <w:rPr>
          <w:rFonts w:ascii="Bookman Old Style" w:hAnsi="Bookman Old Style"/>
        </w:rPr>
        <w:t xml:space="preserve">in addition to his unwillingness to be discharged, </w:t>
      </w:r>
      <w:r w:rsidR="00F16895">
        <w:rPr>
          <w:rFonts w:ascii="Bookman Old Style" w:hAnsi="Bookman Old Style"/>
        </w:rPr>
        <w:t>he quit because the ow</w:t>
      </w:r>
      <w:r w:rsidR="00CE61C1">
        <w:rPr>
          <w:rFonts w:ascii="Bookman Old Style" w:hAnsi="Bookman Old Style"/>
        </w:rPr>
        <w:t xml:space="preserve">ner harassed him and caused </w:t>
      </w:r>
      <w:r w:rsidR="00F16895">
        <w:rPr>
          <w:rFonts w:ascii="Bookman Old Style" w:hAnsi="Bookman Old Style"/>
        </w:rPr>
        <w:t xml:space="preserve">stress that affected his health. </w:t>
      </w:r>
      <w:r>
        <w:rPr>
          <w:rFonts w:ascii="Bookman Old Style" w:hAnsi="Bookman Old Style"/>
        </w:rPr>
        <w:t xml:space="preserve">The claimant did not establish in the hearing that the owner’s treatment of him rose to the level of abuse or discrimination that would compel him to quit.  He had not received a medical recommendation to leave the work. He did not quit until presented with a performance improvement plan, which was not an unreasonable act by the </w:t>
      </w:r>
      <w:r w:rsidR="00CE61C1">
        <w:rPr>
          <w:rFonts w:ascii="Bookman Old Style" w:hAnsi="Bookman Old Style"/>
        </w:rPr>
        <w:t>owner</w:t>
      </w:r>
      <w:r>
        <w:rPr>
          <w:rFonts w:ascii="Bookman Old Style" w:hAnsi="Bookman Old Style"/>
        </w:rPr>
        <w:t xml:space="preserve">, considering the </w:t>
      </w:r>
      <w:r w:rsidR="00CE61C1">
        <w:rPr>
          <w:rFonts w:ascii="Bookman Old Style" w:hAnsi="Bookman Old Style"/>
        </w:rPr>
        <w:t>own</w:t>
      </w:r>
      <w:r>
        <w:rPr>
          <w:rFonts w:ascii="Bookman Old Style" w:hAnsi="Bookman Old Style"/>
        </w:rPr>
        <w:t xml:space="preserve">er’s directives to the </w:t>
      </w:r>
      <w:r w:rsidR="00CE61C1">
        <w:rPr>
          <w:rFonts w:ascii="Bookman Old Style" w:hAnsi="Bookman Old Style"/>
        </w:rPr>
        <w:t>claimant to talk to the owner directly with questions</w:t>
      </w:r>
      <w:r>
        <w:rPr>
          <w:rFonts w:ascii="Bookman Old Style" w:hAnsi="Bookman Old Style"/>
        </w:rPr>
        <w:t xml:space="preserve"> a month before. The claimant has not established that he had good </w:t>
      </w:r>
      <w:r w:rsidR="00CE61C1">
        <w:rPr>
          <w:rFonts w:ascii="Bookman Old Style" w:hAnsi="Bookman Old Style"/>
        </w:rPr>
        <w:t xml:space="preserve">cause to leave the work </w:t>
      </w:r>
      <w:proofErr w:type="spellStart"/>
      <w:r w:rsidR="00CE61C1">
        <w:rPr>
          <w:rFonts w:ascii="Bookman Old Style" w:hAnsi="Bookman Old Style"/>
        </w:rPr>
        <w:t>becau</w:t>
      </w:r>
      <w:r>
        <w:rPr>
          <w:rFonts w:ascii="Bookman Old Style" w:hAnsi="Bookman Old Style"/>
        </w:rPr>
        <w:t>of</w:t>
      </w:r>
      <w:proofErr w:type="spellEnd"/>
      <w:r>
        <w:rPr>
          <w:rFonts w:ascii="Bookman Old Style" w:hAnsi="Bookman Old Style"/>
        </w:rPr>
        <w:t xml:space="preserve"> the owner’s treatment of him. </w:t>
      </w:r>
    </w:p>
    <w:p w:rsidR="002D604D" w:rsidRDefault="002D604D" w:rsidP="00E06A34">
      <w:pPr>
        <w:tabs>
          <w:tab w:val="left" w:pos="-720"/>
        </w:tabs>
        <w:suppressAutoHyphens/>
        <w:rPr>
          <w:rFonts w:ascii="Bookman Old Style" w:hAnsi="Bookman Old Style"/>
        </w:rPr>
      </w:pPr>
    </w:p>
    <w:p w:rsidR="002D604D" w:rsidRPr="00E06A34" w:rsidRDefault="002D604D" w:rsidP="002D604D">
      <w:pPr>
        <w:tabs>
          <w:tab w:val="left" w:pos="-1440"/>
          <w:tab w:val="left" w:pos="-720"/>
        </w:tabs>
        <w:suppressAutoHyphens/>
        <w:ind w:left="720"/>
        <w:rPr>
          <w:rFonts w:ascii="Bookman Old Style" w:hAnsi="Bookman Old Style" w:cs="Arial"/>
          <w:i/>
        </w:rPr>
      </w:pPr>
      <w:r w:rsidRPr="00E06A34">
        <w:rPr>
          <w:rFonts w:ascii="Bookman Old Style" w:hAnsi="Bookman Old Style" w:cs="Arial"/>
          <w:i/>
        </w:rPr>
        <w:t xml:space="preserve">"We have consistently held that a worker who chooses to resign rather than accept dismissal by their employer, does so without good cause. See </w:t>
      </w:r>
      <w:r w:rsidRPr="00E06A34">
        <w:rPr>
          <w:rFonts w:ascii="Bookman Old Style" w:hAnsi="Bookman Old Style" w:cs="Arial"/>
          <w:i/>
          <w:u w:val="single"/>
        </w:rPr>
        <w:t>Pence</w:t>
      </w:r>
      <w:r>
        <w:rPr>
          <w:rFonts w:ascii="Bookman Old Style" w:hAnsi="Bookman Old Style" w:cs="Arial"/>
          <w:i/>
        </w:rPr>
        <w:t>, Com.</w:t>
      </w:r>
      <w:r w:rsidRPr="00E06A34">
        <w:rPr>
          <w:rFonts w:ascii="Bookman Old Style" w:hAnsi="Bookman Old Style" w:cs="Arial"/>
          <w:i/>
        </w:rPr>
        <w:t xml:space="preserve"> Dec. 93234931, February 9, 1994, </w:t>
      </w:r>
      <w:r w:rsidRPr="00E06A34">
        <w:rPr>
          <w:rFonts w:ascii="Bookman Old Style" w:hAnsi="Bookman Old Style" w:cs="Arial"/>
          <w:i/>
          <w:u w:val="single"/>
        </w:rPr>
        <w:t>Wood</w:t>
      </w:r>
      <w:r>
        <w:rPr>
          <w:rFonts w:ascii="Bookman Old Style" w:hAnsi="Bookman Old Style" w:cs="Arial"/>
          <w:i/>
        </w:rPr>
        <w:t>, Com.</w:t>
      </w:r>
      <w:r w:rsidRPr="00E06A34">
        <w:rPr>
          <w:rFonts w:ascii="Bookman Old Style" w:hAnsi="Bookman Old Style" w:cs="Arial"/>
          <w:i/>
        </w:rPr>
        <w:t xml:space="preserve"> Dec. 950820, June 6, 1995 and </w:t>
      </w:r>
      <w:r w:rsidRPr="00E06A34">
        <w:rPr>
          <w:rFonts w:ascii="Bookman Old Style" w:hAnsi="Bookman Old Style" w:cs="Arial"/>
          <w:i/>
          <w:u w:val="single"/>
        </w:rPr>
        <w:t>Brown</w:t>
      </w:r>
      <w:r w:rsidRPr="00E06A34">
        <w:rPr>
          <w:rFonts w:ascii="Bookman Old Style" w:hAnsi="Bookman Old Style" w:cs="Arial"/>
          <w:i/>
        </w:rPr>
        <w:t xml:space="preserve">, 9225776, June 24, 1992."  In </w:t>
      </w:r>
      <w:r w:rsidRPr="00E06A34">
        <w:rPr>
          <w:rFonts w:ascii="Bookman Old Style" w:hAnsi="Bookman Old Style" w:cs="Arial"/>
          <w:i/>
          <w:u w:val="single"/>
        </w:rPr>
        <w:t>Arnold</w:t>
      </w:r>
      <w:r>
        <w:rPr>
          <w:rFonts w:ascii="Bookman Old Style" w:hAnsi="Bookman Old Style" w:cs="Arial"/>
          <w:i/>
        </w:rPr>
        <w:t>, Com.</w:t>
      </w:r>
      <w:r w:rsidRPr="00E06A34">
        <w:rPr>
          <w:rFonts w:ascii="Bookman Old Style" w:hAnsi="Bookman Old Style" w:cs="Arial"/>
          <w:i/>
        </w:rPr>
        <w:t xml:space="preserve"> Dec. 96 1772, August 5, 1996. </w:t>
      </w:r>
    </w:p>
    <w:p w:rsidR="002D604D" w:rsidRDefault="002D604D" w:rsidP="00E06A34">
      <w:pPr>
        <w:tabs>
          <w:tab w:val="left" w:pos="-720"/>
        </w:tabs>
        <w:suppressAutoHyphens/>
        <w:rPr>
          <w:rFonts w:ascii="Bookman Old Style" w:hAnsi="Bookman Old Style"/>
        </w:rPr>
      </w:pPr>
    </w:p>
    <w:p w:rsidR="00E06A34" w:rsidRDefault="003121F5" w:rsidP="00E06A34">
      <w:pPr>
        <w:tabs>
          <w:tab w:val="left" w:pos="-720"/>
        </w:tabs>
        <w:suppressAutoHyphens/>
        <w:rPr>
          <w:rFonts w:ascii="Bookman Old Style" w:hAnsi="Bookman Old Style"/>
        </w:rPr>
      </w:pPr>
      <w:r>
        <w:rPr>
          <w:rFonts w:ascii="Bookman Old Style" w:hAnsi="Bookman Old Style"/>
        </w:rPr>
        <w:t>The above Commissioner Decisions hold that i</w:t>
      </w:r>
      <w:r w:rsidR="002D604D">
        <w:rPr>
          <w:rFonts w:ascii="Bookman Old Style" w:hAnsi="Bookman Old Style"/>
        </w:rPr>
        <w:t xml:space="preserve">mpending discharge </w:t>
      </w:r>
      <w:r>
        <w:rPr>
          <w:rFonts w:ascii="Bookman Old Style" w:hAnsi="Bookman Old Style"/>
        </w:rPr>
        <w:t xml:space="preserve">or fear of discharge </w:t>
      </w:r>
      <w:r w:rsidR="002D604D">
        <w:rPr>
          <w:rFonts w:ascii="Bookman Old Style" w:hAnsi="Bookman Old Style"/>
        </w:rPr>
        <w:t>is</w:t>
      </w:r>
      <w:r>
        <w:rPr>
          <w:rFonts w:ascii="Bookman Old Style" w:hAnsi="Bookman Old Style"/>
        </w:rPr>
        <w:t xml:space="preserve"> never good cause to quit work. </w:t>
      </w:r>
      <w:r w:rsidR="00E06A34">
        <w:rPr>
          <w:rFonts w:ascii="Bookman Old Style" w:hAnsi="Bookman Old Style"/>
        </w:rPr>
        <w:t xml:space="preserve">As this was </w:t>
      </w:r>
      <w:r>
        <w:rPr>
          <w:rFonts w:ascii="Bookman Old Style" w:hAnsi="Bookman Old Style"/>
        </w:rPr>
        <w:t>the claimant</w:t>
      </w:r>
      <w:r w:rsidR="00E06A34">
        <w:rPr>
          <w:rFonts w:ascii="Bookman Old Style" w:hAnsi="Bookman Old Style"/>
        </w:rPr>
        <w:t>’s reason for quitting, good cause has not been established and a disqualification was properly imposed.</w:t>
      </w:r>
    </w:p>
    <w:p w:rsidR="00D342C2" w:rsidRPr="00D82DF6" w:rsidRDefault="00D342C2"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441439" w:rsidRPr="00D82DF6" w:rsidRDefault="00441439" w:rsidP="00D82DF6">
      <w:pPr>
        <w:tabs>
          <w:tab w:val="left" w:pos="-1440"/>
          <w:tab w:val="left" w:pos="-720"/>
        </w:tabs>
        <w:rPr>
          <w:rFonts w:ascii="Bookman Old Style" w:hAnsi="Bookman Old Style"/>
          <w:szCs w:val="24"/>
        </w:rPr>
      </w:pPr>
    </w:p>
    <w:p w:rsidR="003121F5" w:rsidRDefault="00D82DF6" w:rsidP="00E208AA">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3121F5">
        <w:rPr>
          <w:rFonts w:ascii="Bookman Old Style" w:hAnsi="Bookman Old Style"/>
          <w:szCs w:val="24"/>
        </w:rPr>
        <w:t>March 26, 2020</w:t>
      </w:r>
      <w:r w:rsidRPr="00D82DF6">
        <w:rPr>
          <w:rFonts w:ascii="Bookman Old Style" w:hAnsi="Bookman Old Style"/>
          <w:szCs w:val="24"/>
        </w:rPr>
        <w:t xml:space="preserve"> is </w:t>
      </w:r>
      <w:r w:rsidR="003121F5">
        <w:rPr>
          <w:rFonts w:ascii="Bookman Old Style" w:hAnsi="Bookman Old Style"/>
          <w:b/>
          <w:szCs w:val="24"/>
        </w:rPr>
        <w:t>AFFIRMED</w:t>
      </w:r>
      <w:r w:rsidRPr="00D82DF6">
        <w:rPr>
          <w:rFonts w:ascii="Bookman Old Style" w:hAnsi="Bookman Old Style"/>
          <w:b/>
          <w:szCs w:val="24"/>
        </w:rPr>
        <w:t xml:space="preserve">. </w:t>
      </w:r>
      <w:r w:rsidR="003121F5">
        <w:rPr>
          <w:rFonts w:ascii="Bookman Old Style" w:hAnsi="Bookman Old Style"/>
          <w:szCs w:val="24"/>
        </w:rPr>
        <w:t>Benefits 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3121F5">
        <w:rPr>
          <w:rFonts w:ascii="Bookman Old Style" w:hAnsi="Bookman Old Style"/>
          <w:szCs w:val="24"/>
        </w:rPr>
        <w:t>March 21, 2020 through April 25, 2020. The three weeks remain</w:t>
      </w:r>
      <w:r w:rsidRPr="00D82DF6">
        <w:rPr>
          <w:rFonts w:ascii="Bookman Old Style" w:hAnsi="Bookman Old Style"/>
          <w:szCs w:val="24"/>
        </w:rPr>
        <w:t xml:space="preserve"> reduced from the claimant’s maximum benefits. The claimant may not be eligible for extended benefits under AS 23.20.406-409.</w:t>
      </w:r>
    </w:p>
    <w:p w:rsidR="003121F5" w:rsidRPr="00D82DF6" w:rsidRDefault="003121F5"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3121F5">
        <w:rPr>
          <w:rFonts w:ascii="Bookman Old Style" w:hAnsi="Bookman Old Style"/>
          <w:szCs w:val="24"/>
        </w:rPr>
        <w:t>April 30,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3121F5">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B0D" w:rsidRDefault="00E23B0D">
      <w:pPr>
        <w:widowControl/>
        <w:spacing w:line="20" w:lineRule="exact"/>
      </w:pPr>
    </w:p>
  </w:endnote>
  <w:endnote w:type="continuationSeparator" w:id="0">
    <w:p w:rsidR="00E23B0D" w:rsidRDefault="00E23B0D">
      <w:r>
        <w:t xml:space="preserve"> </w:t>
      </w:r>
    </w:p>
  </w:endnote>
  <w:endnote w:type="continuationNotice" w:id="1">
    <w:p w:rsidR="00E23B0D" w:rsidRDefault="00E23B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B0D" w:rsidRDefault="00E23B0D">
      <w:r>
        <w:separator/>
      </w:r>
    </w:p>
  </w:footnote>
  <w:footnote w:type="continuationSeparator" w:id="0">
    <w:p w:rsidR="00E23B0D" w:rsidRDefault="00E2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7A0121">
      <w:rPr>
        <w:rFonts w:ascii="Bookman Old Style" w:hAnsi="Bookman Old Style"/>
      </w:rPr>
      <w:t>20 0300</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C6929">
      <w:rPr>
        <w:rStyle w:val="PageNumber"/>
        <w:rFonts w:ascii="Bookman Old Style" w:hAnsi="Bookman Old Style"/>
        <w:noProof/>
      </w:rPr>
      <w:t>5</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0D"/>
    <w:rsid w:val="00003DC3"/>
    <w:rsid w:val="00026FBD"/>
    <w:rsid w:val="00027F9D"/>
    <w:rsid w:val="00086907"/>
    <w:rsid w:val="00090560"/>
    <w:rsid w:val="000C6929"/>
    <w:rsid w:val="000D3B41"/>
    <w:rsid w:val="000D73C2"/>
    <w:rsid w:val="000F5712"/>
    <w:rsid w:val="00145E88"/>
    <w:rsid w:val="00193EB9"/>
    <w:rsid w:val="001B73F6"/>
    <w:rsid w:val="002529B9"/>
    <w:rsid w:val="002A3C37"/>
    <w:rsid w:val="002C42D3"/>
    <w:rsid w:val="002D5A94"/>
    <w:rsid w:val="002D604D"/>
    <w:rsid w:val="0031012B"/>
    <w:rsid w:val="003115E0"/>
    <w:rsid w:val="003121F5"/>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765551"/>
    <w:rsid w:val="00774034"/>
    <w:rsid w:val="007A0121"/>
    <w:rsid w:val="007C0440"/>
    <w:rsid w:val="007C774A"/>
    <w:rsid w:val="0080243C"/>
    <w:rsid w:val="0080245E"/>
    <w:rsid w:val="008B1CA2"/>
    <w:rsid w:val="008B45DB"/>
    <w:rsid w:val="008F3C72"/>
    <w:rsid w:val="00931AA2"/>
    <w:rsid w:val="00932DE9"/>
    <w:rsid w:val="009639E3"/>
    <w:rsid w:val="00A51932"/>
    <w:rsid w:val="00A66D6A"/>
    <w:rsid w:val="00AA0015"/>
    <w:rsid w:val="00AD5C90"/>
    <w:rsid w:val="00B23E70"/>
    <w:rsid w:val="00B24371"/>
    <w:rsid w:val="00B554BF"/>
    <w:rsid w:val="00B85F9D"/>
    <w:rsid w:val="00C3767D"/>
    <w:rsid w:val="00C47467"/>
    <w:rsid w:val="00C734D5"/>
    <w:rsid w:val="00C81FB9"/>
    <w:rsid w:val="00CA629A"/>
    <w:rsid w:val="00CE61C1"/>
    <w:rsid w:val="00D025D4"/>
    <w:rsid w:val="00D342C2"/>
    <w:rsid w:val="00D829CE"/>
    <w:rsid w:val="00D82DF6"/>
    <w:rsid w:val="00DD54FF"/>
    <w:rsid w:val="00DF1DE2"/>
    <w:rsid w:val="00E06A34"/>
    <w:rsid w:val="00E208AA"/>
    <w:rsid w:val="00E20AA8"/>
    <w:rsid w:val="00E23B0D"/>
    <w:rsid w:val="00EB0E9D"/>
    <w:rsid w:val="00EB2462"/>
    <w:rsid w:val="00EC3E1C"/>
    <w:rsid w:val="00F16895"/>
    <w:rsid w:val="00F2294D"/>
    <w:rsid w:val="00F72C77"/>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A1CF4"/>
  <w15:chartTrackingRefBased/>
  <w15:docId w15:val="{74B03B0E-618F-4A54-81BD-8D26A5CB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6C6502-D47C-4086-8630-694E8E86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5</Pages>
  <Words>1525</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2020-04-30T23:11:00Z</cp:lastPrinted>
  <dcterms:created xsi:type="dcterms:W3CDTF">2020-04-30T23:12:00Z</dcterms:created>
  <dcterms:modified xsi:type="dcterms:W3CDTF">2020-04-30T23:12:00Z</dcterms:modified>
</cp:coreProperties>
</file>