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4" w:rsidRDefault="00C627CB" w:rsidP="00DE14C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Pr="0080286F" w:rsidRDefault="00DE14C4" w:rsidP="0080286F">
      <w:pPr>
        <w:widowControl/>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b/>
          <w:szCs w:val="24"/>
        </w:rPr>
      </w:pPr>
      <w:r w:rsidRPr="0080286F">
        <w:rPr>
          <w:rFonts w:ascii="Bookman Old Style" w:hAnsi="Bookman Old Style"/>
          <w:b/>
          <w:szCs w:val="24"/>
        </w:rPr>
        <w:t>APPEAL TRIBUNAL DECISION</w:t>
      </w:r>
    </w:p>
    <w:p w:rsidR="00616448" w:rsidRPr="0080286F" w:rsidRDefault="00616448" w:rsidP="0080286F">
      <w:pPr>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szCs w:val="24"/>
        </w:rPr>
      </w:pPr>
      <w:r w:rsidRPr="0080286F">
        <w:rPr>
          <w:rFonts w:ascii="Bookman Old Style" w:hAnsi="Bookman Old Style"/>
          <w:b/>
          <w:szCs w:val="24"/>
        </w:rPr>
        <w:t xml:space="preserve">Docket </w:t>
      </w:r>
      <w:r w:rsidR="002A327C" w:rsidRPr="0080286F">
        <w:rPr>
          <w:rFonts w:ascii="Bookman Old Style" w:hAnsi="Bookman Old Style"/>
          <w:b/>
          <w:szCs w:val="24"/>
        </w:rPr>
        <w:t>number:</w:t>
      </w:r>
      <w:r w:rsidRPr="0080286F">
        <w:rPr>
          <w:rFonts w:ascii="Bookman Old Style" w:hAnsi="Bookman Old Style"/>
          <w:szCs w:val="24"/>
        </w:rPr>
        <w:t xml:space="preserve">  </w:t>
      </w:r>
      <w:r w:rsidR="0093162A">
        <w:rPr>
          <w:rFonts w:ascii="Bookman Old Style" w:hAnsi="Bookman Old Style"/>
          <w:szCs w:val="24"/>
        </w:rPr>
        <w:t>20 0621</w:t>
      </w:r>
      <w:r w:rsidRPr="0080286F">
        <w:rPr>
          <w:rFonts w:ascii="Bookman Old Style" w:hAnsi="Bookman Old Style"/>
          <w:szCs w:val="24"/>
        </w:rPr>
        <w:t xml:space="preserve">    </w:t>
      </w:r>
      <w:r w:rsidRPr="0080286F">
        <w:rPr>
          <w:rFonts w:ascii="Bookman Old Style" w:hAnsi="Bookman Old Style"/>
          <w:b/>
          <w:szCs w:val="24"/>
        </w:rPr>
        <w:t xml:space="preserve">Hearing </w:t>
      </w:r>
      <w:r w:rsidR="002A327C" w:rsidRPr="0080286F">
        <w:rPr>
          <w:rFonts w:ascii="Bookman Old Style" w:hAnsi="Bookman Old Style"/>
          <w:b/>
          <w:szCs w:val="24"/>
        </w:rPr>
        <w:t>d</w:t>
      </w:r>
      <w:r w:rsidRPr="0080286F">
        <w:rPr>
          <w:rFonts w:ascii="Bookman Old Style" w:hAnsi="Bookman Old Style"/>
          <w:b/>
          <w:szCs w:val="24"/>
        </w:rPr>
        <w:t>ate:</w:t>
      </w:r>
      <w:r w:rsidRPr="0080286F">
        <w:rPr>
          <w:rFonts w:ascii="Bookman Old Style" w:hAnsi="Bookman Old Style"/>
          <w:szCs w:val="24"/>
        </w:rPr>
        <w:t xml:space="preserve">  </w:t>
      </w:r>
      <w:r w:rsidR="0093162A">
        <w:rPr>
          <w:rFonts w:ascii="Bookman Old Style" w:hAnsi="Bookman Old Style"/>
          <w:szCs w:val="24"/>
        </w:rPr>
        <w:t>June 22, 2020</w:t>
      </w:r>
    </w:p>
    <w:p w:rsidR="00616448" w:rsidRPr="0080286F" w:rsidRDefault="00616448" w:rsidP="0080286F">
      <w:pPr>
        <w:tabs>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5760"/>
        </w:tabs>
        <w:suppressAutoHyphens/>
        <w:ind w:right="-360"/>
        <w:outlineLvl w:val="0"/>
        <w:rPr>
          <w:rFonts w:ascii="Bookman Old Style" w:hAnsi="Bookman Old Style"/>
          <w:szCs w:val="24"/>
        </w:rPr>
      </w:pPr>
      <w:r w:rsidRPr="0080286F">
        <w:rPr>
          <w:rFonts w:ascii="Bookman Old Style" w:hAnsi="Bookman Old Style"/>
          <w:b/>
          <w:szCs w:val="24"/>
        </w:rPr>
        <w:t>CLAIMANT:</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93162A" w:rsidRPr="0093162A" w:rsidRDefault="0093162A" w:rsidP="0093162A">
      <w:pPr>
        <w:tabs>
          <w:tab w:val="left" w:pos="-1440"/>
          <w:tab w:val="left" w:pos="-720"/>
          <w:tab w:val="left" w:pos="0"/>
          <w:tab w:val="left" w:pos="5760"/>
        </w:tabs>
        <w:suppressAutoHyphens/>
        <w:ind w:right="-360"/>
        <w:rPr>
          <w:rFonts w:ascii="Bookman Old Style" w:hAnsi="Bookman Old Style"/>
          <w:szCs w:val="24"/>
        </w:rPr>
      </w:pPr>
      <w:r w:rsidRPr="0093162A">
        <w:rPr>
          <w:rFonts w:ascii="Bookman Old Style" w:hAnsi="Bookman Old Style"/>
          <w:szCs w:val="24"/>
        </w:rPr>
        <w:t>DONALD SLAUGHTER</w:t>
      </w:r>
    </w:p>
    <w:p w:rsidR="00807039" w:rsidRDefault="00807039" w:rsidP="0080286F">
      <w:pPr>
        <w:tabs>
          <w:tab w:val="left" w:pos="-1440"/>
          <w:tab w:val="left" w:pos="-720"/>
          <w:tab w:val="left" w:pos="0"/>
          <w:tab w:val="left" w:pos="5760"/>
        </w:tabs>
        <w:suppressAutoHyphens/>
        <w:ind w:right="-360"/>
        <w:rPr>
          <w:rFonts w:ascii="Bookman Old Style" w:hAnsi="Bookman Old Style"/>
          <w:szCs w:val="24"/>
        </w:rPr>
      </w:pPr>
    </w:p>
    <w:p w:rsidR="00807039" w:rsidRDefault="00807039"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80286F">
        <w:rPr>
          <w:rFonts w:ascii="Bookman Old Style" w:hAnsi="Bookman Old Style"/>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b/>
          <w:szCs w:val="24"/>
        </w:rPr>
      </w:pPr>
      <w:r w:rsidRPr="0080286F">
        <w:rPr>
          <w:rFonts w:ascii="Bookman Old Style" w:hAnsi="Bookman Old Style"/>
          <w:b/>
          <w:szCs w:val="24"/>
        </w:rPr>
        <w:t>CLAIMANT APPEARANCES:</w:t>
      </w:r>
      <w:r w:rsidR="00BC459F" w:rsidRPr="0080286F">
        <w:rPr>
          <w:rFonts w:ascii="Bookman Old Style" w:hAnsi="Bookman Old Style"/>
          <w:b/>
          <w:szCs w:val="24"/>
        </w:rPr>
        <w:tab/>
      </w:r>
      <w:r w:rsidR="002A327C" w:rsidRPr="0080286F">
        <w:rPr>
          <w:rFonts w:ascii="Bookman Old Style" w:hAnsi="Bookman Old Style"/>
          <w:b/>
          <w:szCs w:val="24"/>
        </w:rPr>
        <w:t>DETS</w:t>
      </w:r>
      <w:r w:rsidR="00BC459F" w:rsidRPr="0080286F">
        <w:rPr>
          <w:rFonts w:ascii="Bookman Old Style" w:hAnsi="Bookman Old Style"/>
          <w:b/>
          <w:szCs w:val="24"/>
        </w:rPr>
        <w:t xml:space="preserve"> APPEARANCES:</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93162A" w:rsidP="0080286F">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Donald Slaughter</w:t>
      </w:r>
      <w:r w:rsidR="00BC459F" w:rsidRPr="0080286F">
        <w:rPr>
          <w:rFonts w:ascii="Bookman Old Style" w:hAnsi="Bookman Old Style"/>
          <w:szCs w:val="24"/>
        </w:rPr>
        <w:tab/>
        <w:t>None</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CASE HISTORY</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D506D9" w:rsidP="0080286F">
      <w:pPr>
        <w:rPr>
          <w:rFonts w:ascii="Bookman Old Style" w:hAnsi="Bookman Old Style"/>
          <w:snapToGrid/>
          <w:szCs w:val="24"/>
        </w:rPr>
      </w:pPr>
      <w:r w:rsidRPr="0080286F">
        <w:rPr>
          <w:rFonts w:ascii="Bookman Old Style" w:hAnsi="Bookman Old Style"/>
          <w:szCs w:val="24"/>
        </w:rPr>
        <w:t xml:space="preserve">The </w:t>
      </w:r>
      <w:r w:rsidR="00C61DD2">
        <w:rPr>
          <w:rFonts w:ascii="Bookman Old Style" w:hAnsi="Bookman Old Style"/>
          <w:szCs w:val="24"/>
        </w:rPr>
        <w:t>claimant</w:t>
      </w:r>
      <w:r w:rsidR="001F0AE0">
        <w:rPr>
          <w:rFonts w:ascii="Bookman Old Style" w:hAnsi="Bookman Old Style"/>
          <w:szCs w:val="24"/>
        </w:rPr>
        <w:t xml:space="preserve"> </w:t>
      </w:r>
      <w:r w:rsidR="00616448" w:rsidRPr="0080286F">
        <w:rPr>
          <w:rFonts w:ascii="Bookman Old Style" w:hAnsi="Bookman Old Style"/>
          <w:szCs w:val="24"/>
        </w:rPr>
        <w:t xml:space="preserve">timely appealed a </w:t>
      </w:r>
      <w:r w:rsidR="0093162A">
        <w:rPr>
          <w:rFonts w:ascii="Bookman Old Style" w:hAnsi="Bookman Old Style"/>
          <w:szCs w:val="24"/>
        </w:rPr>
        <w:t>May 27, 2020</w:t>
      </w:r>
      <w:r w:rsidR="00227226" w:rsidRPr="0080286F">
        <w:rPr>
          <w:rFonts w:ascii="Bookman Old Style" w:hAnsi="Bookman Old Style"/>
          <w:szCs w:val="24"/>
        </w:rPr>
        <w:t xml:space="preserve"> </w:t>
      </w:r>
      <w:r w:rsidR="00616448" w:rsidRPr="0080286F">
        <w:rPr>
          <w:rFonts w:ascii="Bookman Old Style" w:hAnsi="Bookman Old Style"/>
          <w:szCs w:val="24"/>
        </w:rPr>
        <w:t xml:space="preserve">determination </w:t>
      </w:r>
      <w:r w:rsidR="00776D18" w:rsidRPr="0080286F">
        <w:rPr>
          <w:rFonts w:ascii="Bookman Old Style" w:hAnsi="Bookman Old Style"/>
          <w:szCs w:val="24"/>
        </w:rPr>
        <w:t>which</w:t>
      </w:r>
      <w:r w:rsidR="00616448" w:rsidRPr="0080286F">
        <w:rPr>
          <w:rFonts w:ascii="Bookman Old Style" w:hAnsi="Bookman Old Style"/>
          <w:szCs w:val="24"/>
        </w:rPr>
        <w:t xml:space="preserve"> denied benefits und</w:t>
      </w:r>
      <w:r w:rsidR="00776D18" w:rsidRPr="0080286F">
        <w:rPr>
          <w:rFonts w:ascii="Bookman Old Style" w:hAnsi="Bookman Old Style"/>
          <w:szCs w:val="24"/>
        </w:rPr>
        <w:t>er AS 23.20.378</w:t>
      </w:r>
      <w:r w:rsidR="00616448" w:rsidRPr="0080286F">
        <w:rPr>
          <w:rFonts w:ascii="Bookman Old Style" w:hAnsi="Bookman Old Style"/>
          <w:szCs w:val="24"/>
        </w:rPr>
        <w:t xml:space="preserve">. </w:t>
      </w:r>
      <w:r w:rsidR="00776D18" w:rsidRPr="0080286F">
        <w:rPr>
          <w:rFonts w:ascii="Bookman Old Style" w:hAnsi="Bookman Old Style"/>
          <w:snapToGrid/>
          <w:szCs w:val="24"/>
        </w:rPr>
        <w:t>The issue before the Appeal Tribunal is whether the claimant was able to work and available for suitable work during a period of travel.</w:t>
      </w:r>
      <w:r w:rsidR="002E6F91" w:rsidRPr="0080286F">
        <w:rPr>
          <w:rFonts w:ascii="Bookman Old Style" w:hAnsi="Bookman Old Style"/>
          <w:szCs w:val="24"/>
        </w:rPr>
        <w:t xml:space="preserve"> </w:t>
      </w:r>
    </w:p>
    <w:p w:rsidR="002E6F91" w:rsidRPr="0080286F" w:rsidRDefault="002E6F91"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b/>
          <w:szCs w:val="24"/>
        </w:rPr>
      </w:pPr>
      <w:r w:rsidRPr="0080286F">
        <w:rPr>
          <w:rFonts w:ascii="Bookman Old Style" w:hAnsi="Bookman Old Style"/>
          <w:b/>
          <w:szCs w:val="24"/>
        </w:rPr>
        <w:tab/>
        <w:t>FINDINGS OF FACT</w:t>
      </w:r>
    </w:p>
    <w:p w:rsidR="00616448" w:rsidRPr="0080286F" w:rsidRDefault="00616448" w:rsidP="0080286F">
      <w:pPr>
        <w:tabs>
          <w:tab w:val="left" w:pos="-1440"/>
          <w:tab w:val="left" w:pos="-720"/>
        </w:tabs>
        <w:suppressAutoHyphens/>
        <w:rPr>
          <w:rFonts w:ascii="Bookman Old Style" w:hAnsi="Bookman Old Style"/>
          <w:szCs w:val="24"/>
        </w:rPr>
      </w:pPr>
    </w:p>
    <w:p w:rsidR="00616448" w:rsidRDefault="0093162A" w:rsidP="0080286F">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resides in Sun City, Arizona and works on the North Slope. He established a claim for unemployment benefits effective April 5, 2020 when he was laid off due to business reasons related to the COVID-19 pandemic. </w:t>
      </w:r>
    </w:p>
    <w:p w:rsidR="0093162A" w:rsidRDefault="0036337A" w:rsidP="0080286F">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On May 6, 2020, the claimant dro</w:t>
      </w:r>
      <w:r w:rsidR="0093162A">
        <w:rPr>
          <w:rFonts w:ascii="Bookman Old Style" w:hAnsi="Bookman Old Style"/>
          <w:snapToGrid/>
          <w:szCs w:val="24"/>
        </w:rPr>
        <w:t>ve with his wife to Fort Riley, Kansas</w:t>
      </w:r>
      <w:r>
        <w:rPr>
          <w:rFonts w:ascii="Bookman Old Style" w:hAnsi="Bookman Old Style"/>
          <w:snapToGrid/>
          <w:szCs w:val="24"/>
        </w:rPr>
        <w:t>, a two-day trip</w:t>
      </w:r>
      <w:r w:rsidR="00657E8E">
        <w:rPr>
          <w:rFonts w:ascii="Bookman Old Style" w:hAnsi="Bookman Old Style"/>
          <w:snapToGrid/>
          <w:szCs w:val="24"/>
        </w:rPr>
        <w:t xml:space="preserve"> each way</w:t>
      </w:r>
      <w:r>
        <w:rPr>
          <w:rFonts w:ascii="Bookman Old Style" w:hAnsi="Bookman Old Style"/>
          <w:snapToGrid/>
          <w:szCs w:val="24"/>
        </w:rPr>
        <w:t>.  The claimant traveled to visit his son who stationed there b</w:t>
      </w:r>
      <w:r w:rsidR="00657E8E">
        <w:rPr>
          <w:rFonts w:ascii="Bookman Old Style" w:hAnsi="Bookman Old Style"/>
          <w:snapToGrid/>
          <w:szCs w:val="24"/>
        </w:rPr>
        <w:t>efore his son</w:t>
      </w:r>
      <w:r>
        <w:rPr>
          <w:rFonts w:ascii="Bookman Old Style" w:hAnsi="Bookman Old Style"/>
          <w:snapToGrid/>
          <w:szCs w:val="24"/>
        </w:rPr>
        <w:t xml:space="preserve"> is deployed by the military to combat overseas. The claimant was not searching for work during his travel, as he is attached to an employer and intends to return to that work when </w:t>
      </w:r>
      <w:r w:rsidR="00657E8E">
        <w:rPr>
          <w:rFonts w:ascii="Bookman Old Style" w:hAnsi="Bookman Old Style"/>
          <w:snapToGrid/>
          <w:szCs w:val="24"/>
        </w:rPr>
        <w:t>called</w:t>
      </w:r>
      <w:r>
        <w:rPr>
          <w:rFonts w:ascii="Bookman Old Style" w:hAnsi="Bookman Old Style"/>
          <w:snapToGrid/>
          <w:szCs w:val="24"/>
        </w:rPr>
        <w:t xml:space="preserve">.  The claimant planned with his wife that if he were called to work while on the trip, he would immediately go to one </w:t>
      </w:r>
      <w:proofErr w:type="gramStart"/>
      <w:r>
        <w:rPr>
          <w:rFonts w:ascii="Bookman Old Style" w:hAnsi="Bookman Old Style"/>
          <w:snapToGrid/>
          <w:szCs w:val="24"/>
        </w:rPr>
        <w:t>of</w:t>
      </w:r>
      <w:proofErr w:type="gramEnd"/>
      <w:r>
        <w:rPr>
          <w:rFonts w:ascii="Bookman Old Style" w:hAnsi="Bookman Old Style"/>
          <w:snapToGrid/>
          <w:szCs w:val="24"/>
        </w:rPr>
        <w:t xml:space="preserve"> many major airports on the way </w:t>
      </w:r>
      <w:r w:rsidR="00657E8E">
        <w:rPr>
          <w:rFonts w:ascii="Bookman Old Style" w:hAnsi="Bookman Old Style"/>
          <w:snapToGrid/>
          <w:szCs w:val="24"/>
        </w:rPr>
        <w:t>and fly</w:t>
      </w:r>
      <w:r>
        <w:rPr>
          <w:rFonts w:ascii="Bookman Old Style" w:hAnsi="Bookman Old Style"/>
          <w:snapToGrid/>
          <w:szCs w:val="24"/>
        </w:rPr>
        <w:t xml:space="preserve"> to </w:t>
      </w:r>
      <w:r w:rsidR="00657E8E">
        <w:rPr>
          <w:rFonts w:ascii="Bookman Old Style" w:hAnsi="Bookman Old Style"/>
          <w:snapToGrid/>
          <w:szCs w:val="24"/>
        </w:rPr>
        <w:t xml:space="preserve">Alaska to </w:t>
      </w:r>
      <w:r>
        <w:rPr>
          <w:rFonts w:ascii="Bookman Old Style" w:hAnsi="Bookman Old Style"/>
          <w:snapToGrid/>
          <w:szCs w:val="24"/>
        </w:rPr>
        <w:t>work, and his wife woul</w:t>
      </w:r>
      <w:r w:rsidR="00657E8E">
        <w:rPr>
          <w:rFonts w:ascii="Bookman Old Style" w:hAnsi="Bookman Old Style"/>
          <w:snapToGrid/>
          <w:szCs w:val="24"/>
        </w:rPr>
        <w:t>d continue the trip by car on her own</w:t>
      </w:r>
      <w:r>
        <w:rPr>
          <w:rFonts w:ascii="Bookman Old Style" w:hAnsi="Bookman Old Style"/>
          <w:snapToGrid/>
          <w:szCs w:val="24"/>
        </w:rPr>
        <w:t xml:space="preserve">.  </w:t>
      </w:r>
    </w:p>
    <w:p w:rsidR="0036337A" w:rsidRPr="0080286F" w:rsidRDefault="0036337A" w:rsidP="0080286F">
      <w:pPr>
        <w:widowControl/>
        <w:tabs>
          <w:tab w:val="left" w:pos="-1440"/>
          <w:tab w:val="left" w:pos="-720"/>
        </w:tabs>
        <w:spacing w:after="200"/>
        <w:rPr>
          <w:rFonts w:ascii="Bookman Old Style" w:hAnsi="Bookman Old Style"/>
          <w:szCs w:val="24"/>
        </w:rPr>
      </w:pPr>
      <w:r>
        <w:rPr>
          <w:rFonts w:ascii="Bookman Old Style" w:hAnsi="Bookman Old Style"/>
          <w:snapToGrid/>
          <w:szCs w:val="24"/>
        </w:rPr>
        <w:t xml:space="preserve">The claimant returned to his residence on May 13, 2020. </w:t>
      </w: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PROVISIONS OF LAW</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AS 23.20.378 provides</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36337A">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 xml:space="preserve">An insured worker is entitled to receive waiting-week credit or benefits for a week of unemployment if for that week the insured </w:t>
      </w:r>
      <w:r w:rsidRPr="0080286F">
        <w:rPr>
          <w:rFonts w:ascii="Bookman Old Style" w:hAnsi="Bookman Old Style"/>
          <w:szCs w:val="24"/>
        </w:rPr>
        <w:lastRenderedPageBreak/>
        <w:t>worker is able to work and available for suitable work….</w:t>
      </w: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85.350</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80286F">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(b)</w:t>
      </w:r>
      <w:r w:rsidRPr="0080286F">
        <w:rPr>
          <w:rFonts w:ascii="Bookman Old Style" w:hAnsi="Bookman Old Style"/>
          <w:szCs w:val="24"/>
        </w:rPr>
        <w:tab/>
        <w:t>A claimant is considered available for suitable work for a week if the claimant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(1)</w:t>
      </w:r>
      <w:r w:rsidRPr="0080286F">
        <w:rPr>
          <w:rFonts w:ascii="Bookman Old Style" w:hAnsi="Bookman Old Style"/>
          <w:szCs w:val="24"/>
        </w:rPr>
        <w:tab/>
      </w:r>
      <w:proofErr w:type="gramStart"/>
      <w:r w:rsidRPr="0080286F">
        <w:rPr>
          <w:rFonts w:ascii="Bookman Old Style" w:hAnsi="Bookman Old Style"/>
          <w:szCs w:val="24"/>
        </w:rPr>
        <w:t>registers</w:t>
      </w:r>
      <w:proofErr w:type="gramEnd"/>
      <w:r w:rsidRPr="0080286F">
        <w:rPr>
          <w:rFonts w:ascii="Bookman Old Style" w:hAnsi="Bookman Old Style"/>
          <w:szCs w:val="24"/>
        </w:rPr>
        <w:t xml:space="preserve"> for work as required under 8 AAC 85.351;</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(2)</w:t>
      </w:r>
      <w:r w:rsidRPr="0080286F">
        <w:rPr>
          <w:rFonts w:ascii="Bookman Old Style" w:hAnsi="Bookman Old Style"/>
          <w:szCs w:val="24"/>
        </w:rPr>
        <w:tab/>
      </w:r>
      <w:proofErr w:type="gramStart"/>
      <w:r w:rsidRPr="0080286F">
        <w:rPr>
          <w:rFonts w:ascii="Bookman Old Style" w:hAnsi="Bookman Old Style"/>
          <w:szCs w:val="24"/>
        </w:rPr>
        <w:t>makes</w:t>
      </w:r>
      <w:proofErr w:type="gramEnd"/>
      <w:r w:rsidRPr="0080286F">
        <w:rPr>
          <w:rFonts w:ascii="Bookman Old Style" w:hAnsi="Bookman Old Style"/>
          <w:szCs w:val="24"/>
        </w:rPr>
        <w:t xml:space="preserve"> independent efforts to find work as directed under 8 AAC 85.352 and 8 AAC 85.355;</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(3)</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85.353 during periods of travel;</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(4)</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85.356 while in training;</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(5)</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willing to accept and perform suitable work which the claimant does not have good cause to refuse;</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(6) </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w:t>
      </w:r>
      <w:r w:rsidR="0046011D" w:rsidRPr="0080286F">
        <w:rPr>
          <w:rFonts w:ascii="Bookman Old Style" w:hAnsi="Bookman Old Style"/>
          <w:szCs w:val="24"/>
        </w:rPr>
        <w:t>vailable</w:t>
      </w:r>
      <w:r w:rsidRPr="0080286F">
        <w:rPr>
          <w:rFonts w:ascii="Bookman Old Style" w:hAnsi="Bookman Old Style"/>
          <w:szCs w:val="24"/>
        </w:rPr>
        <w:t xml:space="preserve">, for </w:t>
      </w:r>
      <w:r w:rsidR="00B85712" w:rsidRPr="0080286F">
        <w:rPr>
          <w:rFonts w:ascii="Bookman Old Style" w:hAnsi="Bookman Old Style"/>
          <w:szCs w:val="24"/>
        </w:rPr>
        <w:t xml:space="preserve">at least five working days </w:t>
      </w:r>
      <w:r w:rsidRPr="0080286F">
        <w:rPr>
          <w:rFonts w:ascii="Bookman Old Style" w:hAnsi="Bookman Old Style"/>
          <w:szCs w:val="24"/>
        </w:rPr>
        <w:t>in the week, to respond promptly to an offer of suitable work; and</w:t>
      </w:r>
    </w:p>
    <w:p w:rsidR="00616448" w:rsidRPr="0080286F" w:rsidRDefault="00616448" w:rsidP="0080286F">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(7)</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available for a substantial amount of full</w:t>
      </w:r>
      <w:r w:rsidRPr="0080286F">
        <w:rPr>
          <w:rFonts w:ascii="Bookman Old Style" w:hAnsi="Bookman Old Style"/>
          <w:szCs w:val="24"/>
        </w:rPr>
        <w:noBreakHyphen/>
        <w:t xml:space="preserve">time employment. </w:t>
      </w:r>
    </w:p>
    <w:p w:rsidR="00616448" w:rsidRPr="0080286F" w:rsidRDefault="00616448" w:rsidP="0080286F">
      <w:pPr>
        <w:tabs>
          <w:tab w:val="left" w:pos="-1440"/>
          <w:tab w:val="left" w:pos="-720"/>
        </w:tabs>
        <w:suppressAutoHyphens/>
        <w:rPr>
          <w:rFonts w:ascii="Bookman Old Style" w:hAnsi="Bookman Old Style"/>
          <w:szCs w:val="24"/>
        </w:rPr>
      </w:pPr>
    </w:p>
    <w:p w:rsidR="00B10C27"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85.353 provides:</w:t>
      </w:r>
      <w:r w:rsidR="00B10C27" w:rsidRPr="0080286F">
        <w:rPr>
          <w:rFonts w:ascii="Bookman Old Style" w:hAnsi="Bookman Old Style"/>
          <w:b/>
          <w:szCs w:val="24"/>
        </w:rPr>
        <w:t xml:space="preserve"> </w:t>
      </w:r>
    </w:p>
    <w:p w:rsidR="00B10C27" w:rsidRPr="0080286F" w:rsidRDefault="00B10C27" w:rsidP="0080286F">
      <w:pPr>
        <w:tabs>
          <w:tab w:val="left" w:pos="-1440"/>
          <w:tab w:val="left" w:pos="-720"/>
        </w:tabs>
        <w:suppressAutoHyphens/>
        <w:rPr>
          <w:rFonts w:ascii="Bookman Old Style" w:hAnsi="Bookman Old Style"/>
          <w:b/>
          <w:szCs w:val="24"/>
        </w:rPr>
      </w:pPr>
    </w:p>
    <w:p w:rsidR="00B10C27" w:rsidRPr="00DC18B0" w:rsidRDefault="005B169B" w:rsidP="00DC18B0">
      <w:pPr>
        <w:tabs>
          <w:tab w:val="left" w:pos="-1440"/>
          <w:tab w:val="left" w:pos="-720"/>
          <w:tab w:val="left" w:pos="1440"/>
        </w:tabs>
        <w:suppressAutoHyphens/>
        <w:ind w:left="1440" w:hanging="720"/>
        <w:rPr>
          <w:rFonts w:ascii="Bookman Old Style" w:hAnsi="Bookman Old Style"/>
          <w:snapToGrid/>
          <w:szCs w:val="24"/>
        </w:rPr>
      </w:pPr>
      <w:r>
        <w:rPr>
          <w:rFonts w:ascii="Bookman Old Style" w:hAnsi="Bookman Old Style"/>
          <w:szCs w:val="24"/>
        </w:rPr>
        <w:t xml:space="preserve">(a) </w:t>
      </w:r>
      <w:r>
        <w:rPr>
          <w:rFonts w:ascii="Bookman Old Style" w:hAnsi="Bookman Old Style"/>
          <w:szCs w:val="24"/>
        </w:rPr>
        <w:tab/>
      </w:r>
      <w:r w:rsidR="00186D2B">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B10C27" w:rsidRPr="0080286F" w:rsidRDefault="00B10C27" w:rsidP="00DC18B0">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(b) </w:t>
      </w:r>
      <w:r w:rsidRPr="0080286F">
        <w:rPr>
          <w:rFonts w:ascii="Bookman Old Style" w:hAnsi="Bookman Old Style"/>
          <w:szCs w:val="24"/>
        </w:rPr>
        <w:tab/>
        <w:t>A claimant is available for work each week while traveling only if the claimant is traveling to</w:t>
      </w:r>
    </w:p>
    <w:p w:rsidR="00B10C27" w:rsidRPr="0080286F" w:rsidRDefault="005B169B" w:rsidP="005B169B">
      <w:pPr>
        <w:tabs>
          <w:tab w:val="left" w:pos="-1440"/>
          <w:tab w:val="left" w:pos="-720"/>
          <w:tab w:val="left" w:pos="1440"/>
        </w:tabs>
        <w:suppressAutoHyphens/>
        <w:ind w:left="2880" w:hanging="2160"/>
        <w:rPr>
          <w:rFonts w:ascii="Bookman Old Style" w:hAnsi="Bookman Old Style"/>
          <w:szCs w:val="24"/>
        </w:rPr>
      </w:pPr>
      <w:r>
        <w:rPr>
          <w:rFonts w:ascii="Bookman Old Style" w:hAnsi="Bookman Old Style"/>
          <w:szCs w:val="24"/>
        </w:rPr>
        <w:tab/>
      </w:r>
      <w:r>
        <w:rPr>
          <w:rFonts w:ascii="Bookman Old Style" w:hAnsi="Bookman Old Style"/>
          <w:szCs w:val="24"/>
        </w:rPr>
        <w:tab/>
        <w:t>(1)</w:t>
      </w:r>
      <w:r>
        <w:rPr>
          <w:rFonts w:ascii="Bookman Old Style" w:hAnsi="Bookman Old Style"/>
          <w:szCs w:val="24"/>
        </w:rPr>
        <w:tab/>
      </w:r>
      <w:proofErr w:type="gramStart"/>
      <w:r w:rsidR="00B10C27" w:rsidRPr="0080286F">
        <w:rPr>
          <w:rFonts w:ascii="Bookman Old Style" w:hAnsi="Bookman Old Style"/>
          <w:szCs w:val="24"/>
        </w:rPr>
        <w:t>search</w:t>
      </w:r>
      <w:proofErr w:type="gramEnd"/>
      <w:r w:rsidR="00B10C27" w:rsidRPr="0080286F">
        <w:rPr>
          <w:rFonts w:ascii="Bookman Old Style" w:hAnsi="Bookman Old Style"/>
          <w:szCs w:val="24"/>
        </w:rPr>
        <w:t xml:space="preserve"> for work and is legally eligible to accept work in the area of travel;</w:t>
      </w:r>
    </w:p>
    <w:p w:rsidR="00B10C27" w:rsidRPr="0080286F" w:rsidRDefault="00B10C27" w:rsidP="005B169B">
      <w:pPr>
        <w:tabs>
          <w:tab w:val="left" w:pos="-1440"/>
          <w:tab w:val="left" w:pos="-720"/>
          <w:tab w:val="left" w:pos="1440"/>
        </w:tabs>
        <w:suppressAutoHyphens/>
        <w:ind w:left="288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(2)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of work that begins no later than 14 days after the claimant's departure; or</w:t>
      </w:r>
    </w:p>
    <w:p w:rsidR="00B10C27" w:rsidRPr="0080286F" w:rsidRDefault="00B10C27" w:rsidP="00DC18B0">
      <w:pPr>
        <w:tabs>
          <w:tab w:val="left" w:pos="-1440"/>
          <w:tab w:val="left" w:pos="-720"/>
          <w:tab w:val="left" w:pos="1440"/>
        </w:tabs>
        <w:suppressAutoHyphens/>
        <w:ind w:left="288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(3)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w:t>
      </w:r>
      <w:r w:rsidR="005B169B">
        <w:rPr>
          <w:rFonts w:ascii="Bookman Old Style" w:hAnsi="Bookman Old Style"/>
          <w:szCs w:val="24"/>
        </w:rPr>
        <w:t xml:space="preserve">following the </w:t>
      </w:r>
      <w:r w:rsidRPr="0080286F">
        <w:rPr>
          <w:rFonts w:ascii="Bookman Old Style" w:hAnsi="Bookman Old Style"/>
          <w:szCs w:val="24"/>
        </w:rPr>
        <w:t>claimant's discharge from the armed forces.</w:t>
      </w:r>
    </w:p>
    <w:p w:rsidR="00B10C27" w:rsidRPr="0080286F" w:rsidRDefault="00B10C27" w:rsidP="005B169B">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(c) </w:t>
      </w:r>
      <w:r w:rsidRPr="0080286F">
        <w:rPr>
          <w:rFonts w:ascii="Bookman Old Style" w:hAnsi="Bookman Old Style"/>
          <w:szCs w:val="24"/>
        </w:rPr>
        <w:tab/>
        <w:t>A claimant who travels in search of work must be legally eligible to accept work and make reasonable efforts to find work each week in the area of the claimant's travel, by</w:t>
      </w:r>
    </w:p>
    <w:p w:rsidR="00B10C27" w:rsidRPr="0080286F" w:rsidRDefault="00B10C27" w:rsidP="005B169B">
      <w:pPr>
        <w:tabs>
          <w:tab w:val="left" w:pos="-1440"/>
          <w:tab w:val="left" w:pos="-720"/>
          <w:tab w:val="left" w:pos="1440"/>
        </w:tabs>
        <w:suppressAutoHyphens/>
        <w:ind w:left="720"/>
        <w:rPr>
          <w:rFonts w:ascii="Bookman Old Style" w:hAnsi="Bookman Old Style"/>
          <w:szCs w:val="24"/>
        </w:rPr>
      </w:pPr>
    </w:p>
    <w:p w:rsidR="00B10C27" w:rsidRPr="0080286F" w:rsidRDefault="00B10C27" w:rsidP="005B169B">
      <w:pPr>
        <w:tabs>
          <w:tab w:val="left" w:pos="-1440"/>
          <w:tab w:val="left" w:pos="-720"/>
          <w:tab w:val="left" w:pos="1440"/>
        </w:tabs>
        <w:suppressAutoHyphens/>
        <w:ind w:left="72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(1) </w:t>
      </w:r>
      <w:r w:rsidRPr="0080286F">
        <w:rPr>
          <w:rFonts w:ascii="Bookman Old Style" w:hAnsi="Bookman Old Style"/>
          <w:szCs w:val="24"/>
        </w:rPr>
        <w:tab/>
      </w:r>
      <w:proofErr w:type="gramStart"/>
      <w:r w:rsidRPr="0080286F">
        <w:rPr>
          <w:rFonts w:ascii="Bookman Old Style" w:hAnsi="Bookman Old Style"/>
          <w:szCs w:val="24"/>
        </w:rPr>
        <w:t>contacting</w:t>
      </w:r>
      <w:proofErr w:type="gramEnd"/>
      <w:r w:rsidRPr="0080286F">
        <w:rPr>
          <w:rFonts w:ascii="Bookman Old Style" w:hAnsi="Bookman Old Style"/>
          <w:szCs w:val="24"/>
        </w:rPr>
        <w:t xml:space="preserve"> in person an employment office;</w:t>
      </w:r>
    </w:p>
    <w:p w:rsidR="00B10C27" w:rsidRPr="0080286F" w:rsidRDefault="00B10C27" w:rsidP="005B169B">
      <w:pPr>
        <w:tabs>
          <w:tab w:val="left" w:pos="-1440"/>
          <w:tab w:val="left" w:pos="-720"/>
          <w:tab w:val="left" w:pos="1440"/>
        </w:tabs>
        <w:suppressAutoHyphens/>
        <w:ind w:left="72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(2) </w:t>
      </w:r>
      <w:r w:rsidRPr="0080286F">
        <w:rPr>
          <w:rFonts w:ascii="Bookman Old Style" w:hAnsi="Bookman Old Style"/>
          <w:szCs w:val="24"/>
        </w:rPr>
        <w:tab/>
      </w:r>
      <w:proofErr w:type="gramStart"/>
      <w:r w:rsidRPr="0080286F">
        <w:rPr>
          <w:rFonts w:ascii="Bookman Old Style" w:hAnsi="Bookman Old Style"/>
          <w:szCs w:val="24"/>
        </w:rPr>
        <w:t>making</w:t>
      </w:r>
      <w:proofErr w:type="gramEnd"/>
      <w:r w:rsidRPr="0080286F">
        <w:rPr>
          <w:rFonts w:ascii="Bookman Old Style" w:hAnsi="Bookman Old Style"/>
          <w:szCs w:val="24"/>
        </w:rPr>
        <w:t xml:space="preserve"> at least two in-person employer contacts;</w:t>
      </w:r>
    </w:p>
    <w:p w:rsidR="00B10C27" w:rsidRPr="0080286F" w:rsidRDefault="00B10C27" w:rsidP="00DC18B0">
      <w:pPr>
        <w:tabs>
          <w:tab w:val="left" w:pos="-1440"/>
          <w:tab w:val="left" w:pos="-720"/>
          <w:tab w:val="left" w:pos="1440"/>
        </w:tabs>
        <w:suppressAutoHyphens/>
        <w:ind w:left="288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(3) </w:t>
      </w:r>
      <w:r w:rsidRPr="0080286F">
        <w:rPr>
          <w:rFonts w:ascii="Bookman Old Style" w:hAnsi="Bookman Old Style"/>
          <w:szCs w:val="24"/>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w:t>
      </w:r>
    </w:p>
    <w:p w:rsidR="00B10C27" w:rsidRPr="0080286F" w:rsidRDefault="00B10C27" w:rsidP="005B169B">
      <w:pPr>
        <w:tabs>
          <w:tab w:val="left" w:pos="-1440"/>
          <w:tab w:val="left" w:pos="-720"/>
          <w:tab w:val="left" w:pos="1440"/>
        </w:tabs>
        <w:suppressAutoHyphens/>
        <w:ind w:left="72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(4) </w:t>
      </w:r>
      <w:r w:rsidRPr="0080286F">
        <w:rPr>
          <w:rFonts w:ascii="Bookman Old Style" w:hAnsi="Bookman Old Style"/>
          <w:szCs w:val="24"/>
        </w:rPr>
        <w:tab/>
      </w:r>
      <w:proofErr w:type="gramStart"/>
      <w:r w:rsidRPr="0080286F">
        <w:rPr>
          <w:rFonts w:ascii="Bookman Old Style" w:hAnsi="Bookman Old Style"/>
          <w:szCs w:val="24"/>
        </w:rPr>
        <w:t>attending</w:t>
      </w:r>
      <w:proofErr w:type="gramEnd"/>
      <w:r w:rsidRPr="0080286F">
        <w:rPr>
          <w:rFonts w:ascii="Bookman Old Style" w:hAnsi="Bookman Old Style"/>
          <w:szCs w:val="24"/>
        </w:rPr>
        <w:t xml:space="preserve"> in person a pre-arranged job interview.</w:t>
      </w:r>
    </w:p>
    <w:p w:rsidR="00B10C27" w:rsidRPr="0080286F" w:rsidRDefault="00B10C27" w:rsidP="005B169B">
      <w:pPr>
        <w:tabs>
          <w:tab w:val="left" w:pos="-1440"/>
          <w:tab w:val="left" w:pos="-720"/>
          <w:tab w:val="left" w:pos="1440"/>
        </w:tabs>
        <w:suppressAutoHyphens/>
        <w:ind w:left="720"/>
        <w:rPr>
          <w:rFonts w:ascii="Bookman Old Style" w:hAnsi="Bookman Old Style"/>
          <w:szCs w:val="24"/>
        </w:rPr>
      </w:pPr>
    </w:p>
    <w:p w:rsidR="00B10C27" w:rsidRPr="0080286F" w:rsidRDefault="00B10C27" w:rsidP="00DC18B0">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(d) </w:t>
      </w:r>
      <w:r w:rsidRPr="0080286F">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B10C27" w:rsidRPr="0080286F" w:rsidRDefault="00B10C27" w:rsidP="005B169B">
      <w:pPr>
        <w:tabs>
          <w:tab w:val="left" w:pos="-1440"/>
          <w:tab w:val="left" w:pos="-720"/>
          <w:tab w:val="left" w:pos="1440"/>
        </w:tabs>
        <w:suppressAutoHyphens/>
        <w:ind w:left="720"/>
        <w:rPr>
          <w:rFonts w:ascii="Bookman Old Style" w:hAnsi="Bookman Old Style"/>
          <w:szCs w:val="24"/>
        </w:rPr>
      </w:pPr>
    </w:p>
    <w:p w:rsidR="00B10C27" w:rsidRPr="0080286F" w:rsidRDefault="00B10C27" w:rsidP="00DC18B0">
      <w:pPr>
        <w:tabs>
          <w:tab w:val="left" w:pos="-1440"/>
          <w:tab w:val="left" w:pos="-720"/>
          <w:tab w:val="left" w:pos="1440"/>
        </w:tabs>
        <w:suppressAutoHyphens/>
        <w:ind w:left="288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(1)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or work that begins 14 days after the claimant’s departure; or</w:t>
      </w:r>
    </w:p>
    <w:p w:rsidR="00B10C27" w:rsidRPr="0080286F" w:rsidRDefault="00B10C27" w:rsidP="00DC18B0">
      <w:pPr>
        <w:tabs>
          <w:tab w:val="left" w:pos="-1440"/>
          <w:tab w:val="left" w:pos="-720"/>
          <w:tab w:val="left" w:pos="1440"/>
        </w:tabs>
        <w:suppressAutoHyphens/>
        <w:ind w:left="288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(2)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following the claimant’s discharge from the armed forces.</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pStyle w:val="Heading1"/>
        <w:rPr>
          <w:rFonts w:ascii="Bookman Old Style" w:hAnsi="Bookman Old Style"/>
          <w:szCs w:val="24"/>
          <w:u w:val="none"/>
        </w:rPr>
      </w:pPr>
      <w:r w:rsidRPr="0080286F">
        <w:rPr>
          <w:rFonts w:ascii="Bookman Old Style" w:hAnsi="Bookman Old Style"/>
          <w:szCs w:val="24"/>
          <w:u w:val="none"/>
        </w:rPr>
        <w:t>CONCLUSION</w:t>
      </w:r>
    </w:p>
    <w:p w:rsidR="00616448" w:rsidRPr="0080286F" w:rsidRDefault="00616448" w:rsidP="0080286F">
      <w:pPr>
        <w:tabs>
          <w:tab w:val="left" w:pos="-1440"/>
          <w:tab w:val="left" w:pos="-720"/>
        </w:tabs>
        <w:suppressAutoHyphens/>
        <w:rPr>
          <w:rFonts w:ascii="Bookman Old Style" w:hAnsi="Bookman Old Style"/>
          <w:szCs w:val="24"/>
        </w:rPr>
      </w:pPr>
    </w:p>
    <w:p w:rsidR="00776D18" w:rsidRPr="0080286F" w:rsidRDefault="00657E8E" w:rsidP="0080286F">
      <w:pPr>
        <w:widowControl/>
        <w:spacing w:after="200"/>
        <w:rPr>
          <w:rFonts w:ascii="Bookman Old Style" w:hAnsi="Bookman Old Style"/>
          <w:snapToGrid/>
          <w:szCs w:val="24"/>
        </w:rPr>
      </w:pPr>
      <w:r>
        <w:rPr>
          <w:rFonts w:ascii="Bookman Old Style" w:hAnsi="Bookman Old Style"/>
          <w:snapToGrid/>
          <w:szCs w:val="24"/>
        </w:rPr>
        <w:t>Alaska Statute</w:t>
      </w:r>
      <w:r w:rsidR="00C627CB">
        <w:rPr>
          <w:rFonts w:ascii="Bookman Old Style" w:hAnsi="Bookman Old Style"/>
          <w:snapToGrid/>
          <w:szCs w:val="24"/>
        </w:rPr>
        <w:t xml:space="preserve"> 23.20.378 requires that claimants be available for work in orde</w:t>
      </w:r>
      <w:r>
        <w:rPr>
          <w:rFonts w:ascii="Bookman Old Style" w:hAnsi="Bookman Old Style"/>
          <w:snapToGrid/>
          <w:szCs w:val="24"/>
        </w:rPr>
        <w:t>r to be eligible for benefits.</w:t>
      </w:r>
      <w:r w:rsidR="00C627CB">
        <w:rPr>
          <w:rFonts w:ascii="Bookman Old Style" w:hAnsi="Bookman Old Style"/>
          <w:snapToGrid/>
          <w:szCs w:val="24"/>
        </w:rPr>
        <w:t xml:space="preserve"> Regulation 8 AAC 85.353 applies</w:t>
      </w:r>
      <w:r w:rsidR="00776D18" w:rsidRPr="0080286F">
        <w:rPr>
          <w:rFonts w:ascii="Bookman Old Style" w:hAnsi="Bookman Old Style"/>
          <w:snapToGrid/>
          <w:szCs w:val="24"/>
        </w:rPr>
        <w:t xml:space="preserve"> to any period during which a claimant travels outside the area in which the claimant resides.</w:t>
      </w:r>
      <w:r w:rsidR="0036337A">
        <w:rPr>
          <w:rFonts w:ascii="Bookman Old Style" w:hAnsi="Bookman Old Style"/>
          <w:snapToGrid/>
          <w:szCs w:val="24"/>
        </w:rPr>
        <w:t xml:space="preserve"> The claimant was outside his area of residence during the weeks under r</w:t>
      </w:r>
      <w:r w:rsidR="00C627CB">
        <w:rPr>
          <w:rFonts w:ascii="Bookman Old Style" w:hAnsi="Bookman Old Style"/>
          <w:snapToGrid/>
          <w:szCs w:val="24"/>
        </w:rPr>
        <w:t xml:space="preserve">eview. Regulation </w:t>
      </w:r>
      <w:r w:rsidR="00776D18" w:rsidRPr="0080286F">
        <w:rPr>
          <w:rFonts w:ascii="Bookman Old Style" w:hAnsi="Bookman Old Style"/>
          <w:snapToGrid/>
          <w:szCs w:val="24"/>
        </w:rPr>
        <w:t>8 AAC 85.353(b) provides that a claimant who travels away from their area of residence during their customary workweek is considered available for work only if they travel for one of the three allowable reasons stated in section (c).</w:t>
      </w:r>
      <w:r w:rsidR="00C627CB">
        <w:rPr>
          <w:rFonts w:ascii="Bookman Old Style" w:hAnsi="Bookman Old Style"/>
          <w:snapToGrid/>
          <w:szCs w:val="24"/>
        </w:rPr>
        <w:t xml:space="preserve"> The claimant did not travel for an allowable reason. </w:t>
      </w:r>
    </w:p>
    <w:p w:rsidR="00C627CB" w:rsidRDefault="000B78FA" w:rsidP="0080286F">
      <w:pPr>
        <w:widowControl/>
        <w:spacing w:after="200"/>
        <w:rPr>
          <w:rFonts w:ascii="Bookman Old Style" w:hAnsi="Bookman Old Style"/>
          <w:snapToGrid/>
          <w:szCs w:val="24"/>
        </w:rPr>
      </w:pPr>
      <w:r>
        <w:rPr>
          <w:rFonts w:ascii="Bookman Old Style" w:hAnsi="Bookman Old Style"/>
          <w:snapToGrid/>
          <w:szCs w:val="24"/>
        </w:rPr>
        <w:t>U</w:t>
      </w:r>
      <w:r w:rsidR="00776D18" w:rsidRPr="0080286F">
        <w:rPr>
          <w:rFonts w:ascii="Bookman Old Style" w:hAnsi="Bookman Old Style"/>
          <w:snapToGrid/>
          <w:szCs w:val="24"/>
        </w:rPr>
        <w:t xml:space="preserve">nder </w:t>
      </w:r>
      <w:r w:rsidR="00657E8E">
        <w:rPr>
          <w:rFonts w:ascii="Bookman Old Style" w:hAnsi="Bookman Old Style"/>
          <w:snapToGrid/>
          <w:szCs w:val="24"/>
        </w:rPr>
        <w:t xml:space="preserve">Regulation </w:t>
      </w:r>
      <w:r w:rsidR="00776D18" w:rsidRPr="0080286F">
        <w:rPr>
          <w:rFonts w:ascii="Bookman Old Style" w:hAnsi="Bookman Old Style"/>
          <w:snapToGrid/>
          <w:szCs w:val="24"/>
        </w:rPr>
        <w:t xml:space="preserve">8 AAC 85.350, a claimant must be available for work at least five working days of their customary workweek.  </w:t>
      </w:r>
      <w:r w:rsidR="00C627CB">
        <w:rPr>
          <w:rFonts w:ascii="Bookman Old Style" w:hAnsi="Bookman Old Style"/>
          <w:snapToGrid/>
          <w:szCs w:val="24"/>
        </w:rPr>
        <w:t xml:space="preserve">The claimant was not available in his area of residence for five days in the weeks under review. </w:t>
      </w:r>
    </w:p>
    <w:p w:rsidR="00C627CB" w:rsidRPr="0080286F" w:rsidRDefault="00C627CB" w:rsidP="0080286F">
      <w:pPr>
        <w:widowControl/>
        <w:spacing w:after="200"/>
        <w:rPr>
          <w:rFonts w:ascii="Bookman Old Style" w:hAnsi="Bookman Old Style"/>
          <w:snapToGrid/>
          <w:szCs w:val="24"/>
        </w:rPr>
      </w:pPr>
      <w:r>
        <w:rPr>
          <w:rFonts w:ascii="Bookman Old Style" w:hAnsi="Bookman Old Style"/>
          <w:snapToGrid/>
          <w:szCs w:val="24"/>
        </w:rPr>
        <w:t xml:space="preserve">The claimant argued that he was available for work during the weeks under review because he could get on a plane and respond promptly to an offer of work at any point during his travel. </w:t>
      </w:r>
    </w:p>
    <w:p w:rsidR="00C627CB" w:rsidRDefault="00C627CB" w:rsidP="00657E8E">
      <w:pPr>
        <w:widowControl/>
        <w:autoSpaceDE w:val="0"/>
        <w:autoSpaceDN w:val="0"/>
        <w:adjustRightInd w:val="0"/>
        <w:ind w:left="720"/>
        <w:rPr>
          <w:rFonts w:ascii="Bookman Old Style" w:hAnsi="Bookman Old Style" w:cs="Arial"/>
          <w:i/>
          <w:snapToGrid/>
          <w:color w:val="000000"/>
          <w:szCs w:val="24"/>
        </w:rPr>
      </w:pPr>
      <w:r w:rsidRPr="00FE16C0">
        <w:rPr>
          <w:rFonts w:ascii="Bookman Old Style" w:hAnsi="Bookman Old Style" w:cs="Arial"/>
          <w:i/>
          <w:snapToGrid/>
          <w:color w:val="000000"/>
          <w:szCs w:val="24"/>
        </w:rPr>
        <w:t xml:space="preserve">The purpose of the Employment Security Act is to enhance the economic security of persons who are involuntarily unemployed. In order to fulfill this statutory objective, it is not unreasonable to require claimants to be within the area of their normal labor market during the regular workweek. If a claimant travels for reasons unrelated to his work search, he runs the </w:t>
      </w:r>
      <w:r w:rsidRPr="00FE16C0">
        <w:rPr>
          <w:rFonts w:ascii="Bookman Old Style" w:hAnsi="Bookman Old Style" w:cs="Arial"/>
          <w:i/>
          <w:snapToGrid/>
          <w:color w:val="000000"/>
          <w:szCs w:val="24"/>
        </w:rPr>
        <w:lastRenderedPageBreak/>
        <w:t>risk of being unable to promptly respond to job offers. This risk clearly runs counter to the statutory purpose of enhancing the employment security of</w:t>
      </w:r>
      <w:r w:rsidR="00657E8E">
        <w:rPr>
          <w:rFonts w:ascii="Bookman Old Style" w:hAnsi="Bookman Old Style" w:cs="Arial"/>
          <w:i/>
          <w:snapToGrid/>
          <w:color w:val="000000"/>
          <w:szCs w:val="24"/>
        </w:rPr>
        <w:t xml:space="preserve"> </w:t>
      </w:r>
      <w:r w:rsidRPr="00FE16C0">
        <w:rPr>
          <w:rFonts w:ascii="Bookman Old Style" w:hAnsi="Bookman Old Style" w:cs="Arial"/>
          <w:i/>
          <w:snapToGrid/>
          <w:color w:val="000000"/>
          <w:szCs w:val="24"/>
        </w:rPr>
        <w:t>the unemployed. (</w:t>
      </w:r>
      <w:r w:rsidRPr="00E01413">
        <w:rPr>
          <w:rFonts w:ascii="Bookman Old Style" w:hAnsi="Bookman Old Style" w:cs="Arial"/>
          <w:i/>
          <w:snapToGrid/>
          <w:szCs w:val="24"/>
        </w:rPr>
        <w:t>3PA-84-28</w:t>
      </w:r>
      <w:r w:rsidRPr="00FE16C0">
        <w:rPr>
          <w:rFonts w:ascii="Bookman Old Style" w:hAnsi="Bookman Old Style" w:cs="Arial"/>
          <w:i/>
          <w:snapToGrid/>
          <w:color w:val="000000"/>
          <w:szCs w:val="24"/>
        </w:rPr>
        <w:t xml:space="preserve">, </w:t>
      </w:r>
      <w:r w:rsidRPr="00EF6811">
        <w:rPr>
          <w:rFonts w:ascii="Bookman Old Style" w:hAnsi="Bookman Old Style" w:cs="Arial"/>
          <w:i/>
          <w:snapToGrid/>
          <w:color w:val="000000"/>
          <w:szCs w:val="24"/>
          <w:u w:val="single"/>
        </w:rPr>
        <w:t>Henderson v. Employment Security Division</w:t>
      </w:r>
      <w:r w:rsidRPr="00FE16C0">
        <w:rPr>
          <w:rFonts w:ascii="Bookman Old Style" w:hAnsi="Bookman Old Style" w:cs="Arial"/>
          <w:i/>
          <w:snapToGrid/>
          <w:color w:val="000000"/>
          <w:szCs w:val="24"/>
        </w:rPr>
        <w:t>, January 7, 1988)</w:t>
      </w:r>
    </w:p>
    <w:p w:rsidR="00C627CB" w:rsidRPr="000773AD" w:rsidRDefault="00C627CB" w:rsidP="00C627CB">
      <w:pPr>
        <w:widowControl/>
        <w:autoSpaceDE w:val="0"/>
        <w:autoSpaceDN w:val="0"/>
        <w:adjustRightInd w:val="0"/>
        <w:ind w:left="720"/>
        <w:rPr>
          <w:rFonts w:ascii="Bookman Old Style" w:hAnsi="Bookman Old Style" w:cs="Arial"/>
          <w:i/>
          <w:snapToGrid/>
          <w:color w:val="000000"/>
          <w:szCs w:val="24"/>
        </w:rPr>
      </w:pPr>
    </w:p>
    <w:p w:rsidR="00C627CB" w:rsidRDefault="00C627CB" w:rsidP="00C627CB">
      <w:pPr>
        <w:ind w:left="720"/>
        <w:rPr>
          <w:rFonts w:ascii="Bookman Old Style" w:hAnsi="Bookman Old Style"/>
          <w:i/>
        </w:rPr>
      </w:pPr>
      <w:r w:rsidRPr="00BD10BB">
        <w:rPr>
          <w:rFonts w:ascii="Bookman Old Style" w:hAnsi="Bookman Old Style"/>
          <w:i/>
        </w:rPr>
        <w:t>The Department “must abide by the parameters set by the legislature” in the language of a stat</w:t>
      </w:r>
      <w:r>
        <w:rPr>
          <w:rFonts w:ascii="Bookman Old Style" w:hAnsi="Bookman Old Style"/>
          <w:i/>
        </w:rPr>
        <w:t xml:space="preserve">ute. </w:t>
      </w:r>
      <w:proofErr w:type="spellStart"/>
      <w:r>
        <w:rPr>
          <w:rFonts w:ascii="Bookman Old Style" w:hAnsi="Bookman Old Style"/>
          <w:i/>
        </w:rPr>
        <w:t>Baisden</w:t>
      </w:r>
      <w:proofErr w:type="spellEnd"/>
      <w:r>
        <w:rPr>
          <w:rFonts w:ascii="Bookman Old Style" w:hAnsi="Bookman Old Style"/>
          <w:i/>
        </w:rPr>
        <w:t>, Com.</w:t>
      </w:r>
      <w:r w:rsidRPr="00BD10BB">
        <w:rPr>
          <w:rFonts w:ascii="Bookman Old Style" w:hAnsi="Bookman Old Style"/>
          <w:i/>
        </w:rPr>
        <w:t xml:space="preserve"> Dec. 9</w:t>
      </w:r>
      <w:r>
        <w:rPr>
          <w:rFonts w:ascii="Bookman Old Style" w:hAnsi="Bookman Old Style"/>
          <w:i/>
        </w:rPr>
        <w:t>8 2003, November 5, 1998; Com.</w:t>
      </w:r>
      <w:r w:rsidRPr="00BD10BB">
        <w:rPr>
          <w:rFonts w:ascii="Bookman Old Style" w:hAnsi="Bookman Old Style"/>
          <w:i/>
        </w:rPr>
        <w:t xml:space="preserve"> Dec. </w:t>
      </w:r>
      <w:r w:rsidRPr="00E01413">
        <w:rPr>
          <w:rFonts w:ascii="Bookman Old Style" w:hAnsi="Bookman Old Style"/>
          <w:i/>
          <w:u w:val="single"/>
        </w:rPr>
        <w:t>Hutchens</w:t>
      </w:r>
      <w:r w:rsidRPr="00BD10BB">
        <w:rPr>
          <w:rFonts w:ascii="Bookman Old Style" w:hAnsi="Bookman Old Style"/>
          <w:i/>
        </w:rPr>
        <w:t>, 97 0427, June 16, 1997; other cites omitted.</w:t>
      </w:r>
    </w:p>
    <w:p w:rsidR="00C627CB" w:rsidRDefault="00C627CB" w:rsidP="00C627CB">
      <w:pPr>
        <w:ind w:left="720"/>
        <w:rPr>
          <w:rFonts w:ascii="Bookman Old Style" w:hAnsi="Bookman Old Style"/>
          <w:i/>
        </w:rPr>
      </w:pPr>
    </w:p>
    <w:p w:rsidR="00C627CB" w:rsidRPr="000773AD" w:rsidRDefault="00C627CB" w:rsidP="00C627CB">
      <w:pPr>
        <w:tabs>
          <w:tab w:val="left" w:pos="-1440"/>
          <w:tab w:val="left" w:pos="-720"/>
        </w:tabs>
        <w:suppressAutoHyphens/>
        <w:ind w:left="720"/>
        <w:rPr>
          <w:rFonts w:ascii="Bookman Old Style" w:hAnsi="Bookman Old Style"/>
          <w:i/>
          <w:szCs w:val="24"/>
        </w:rPr>
      </w:pPr>
      <w:r w:rsidRPr="007D7CC0">
        <w:rPr>
          <w:rFonts w:ascii="Bookman Old Style" w:hAnsi="Bookman Old Style"/>
          <w:i/>
          <w:szCs w:val="24"/>
        </w:rPr>
        <w:t>Regulations are subject to the same con</w:t>
      </w:r>
      <w:r>
        <w:rPr>
          <w:rFonts w:ascii="Bookman Old Style" w:hAnsi="Bookman Old Style"/>
          <w:i/>
          <w:szCs w:val="24"/>
        </w:rPr>
        <w:t xml:space="preserve">structs as are statutes. Under </w:t>
      </w:r>
      <w:r w:rsidRPr="007D7CC0">
        <w:rPr>
          <w:rFonts w:ascii="Bookman Old Style" w:hAnsi="Bookman Old Style"/>
          <w:i/>
          <w:szCs w:val="24"/>
        </w:rPr>
        <w:t xml:space="preserve">the rules of statutory construction, words, if not specifically defined, are </w:t>
      </w:r>
      <w:r w:rsidRPr="007D7CC0">
        <w:rPr>
          <w:rFonts w:ascii="Bookman Old Style" w:hAnsi="Bookman Old Style"/>
          <w:i/>
          <w:szCs w:val="24"/>
        </w:rPr>
        <w:tab/>
        <w:t>to be accorded t</w:t>
      </w:r>
      <w:r>
        <w:rPr>
          <w:rFonts w:ascii="Bookman Old Style" w:hAnsi="Bookman Old Style"/>
          <w:i/>
          <w:szCs w:val="24"/>
        </w:rPr>
        <w:t xml:space="preserve">heir commonly accepted meaning. </w:t>
      </w:r>
      <w:proofErr w:type="spellStart"/>
      <w:r w:rsidRPr="000773AD">
        <w:rPr>
          <w:rFonts w:ascii="Bookman Old Style" w:hAnsi="Bookman Old Style"/>
          <w:i/>
          <w:szCs w:val="24"/>
          <w:u w:val="single"/>
        </w:rPr>
        <w:t>Gilheany</w:t>
      </w:r>
      <w:proofErr w:type="spellEnd"/>
      <w:r>
        <w:rPr>
          <w:rFonts w:ascii="Bookman Old Style" w:hAnsi="Bookman Old Style"/>
          <w:i/>
          <w:szCs w:val="24"/>
        </w:rPr>
        <w:t>, Co</w:t>
      </w:r>
      <w:r w:rsidRPr="000773AD">
        <w:rPr>
          <w:rFonts w:ascii="Bookman Old Style" w:hAnsi="Bookman Old Style"/>
          <w:i/>
          <w:szCs w:val="24"/>
        </w:rPr>
        <w:t>m. Dec. 84H-UI-348, March 29, 1985</w:t>
      </w:r>
      <w:r>
        <w:rPr>
          <w:rFonts w:ascii="Bookman Old Style" w:hAnsi="Bookman Old Style"/>
          <w:i/>
          <w:szCs w:val="24"/>
        </w:rPr>
        <w:t>.</w:t>
      </w:r>
    </w:p>
    <w:p w:rsidR="00C627CB" w:rsidRPr="000773AD" w:rsidRDefault="00C627CB" w:rsidP="00C627CB">
      <w:pPr>
        <w:tabs>
          <w:tab w:val="left" w:pos="-1440"/>
          <w:tab w:val="left" w:pos="-720"/>
        </w:tabs>
        <w:suppressAutoHyphens/>
        <w:ind w:left="720"/>
        <w:rPr>
          <w:rFonts w:ascii="Bookman Old Style" w:hAnsi="Bookman Old Style"/>
          <w:i/>
          <w:szCs w:val="24"/>
        </w:rPr>
      </w:pPr>
    </w:p>
    <w:p w:rsidR="00C627CB" w:rsidRPr="00657E8E" w:rsidRDefault="00C627CB" w:rsidP="00657E8E">
      <w:pPr>
        <w:widowControl/>
        <w:spacing w:after="200"/>
        <w:ind w:left="720"/>
        <w:rPr>
          <w:rFonts w:ascii="Bookman Old Style" w:hAnsi="Bookman Old Style"/>
          <w:i/>
          <w:snapToGrid/>
          <w:szCs w:val="24"/>
        </w:rPr>
      </w:pPr>
      <w:r w:rsidRPr="00776D18">
        <w:rPr>
          <w:rFonts w:ascii="Bookman Old Style" w:hAnsi="Bookman Old Style"/>
          <w:i/>
          <w:snapToGrid/>
          <w:szCs w:val="24"/>
        </w:rPr>
        <w:t xml:space="preserve">Neither the Appeal Tribunal nor I have any jurisdiction to hold contrary to the clear wordage of the law. </w:t>
      </w:r>
      <w:r w:rsidRPr="00776D18">
        <w:rPr>
          <w:rFonts w:ascii="Bookman Old Style" w:hAnsi="Bookman Old Style"/>
          <w:i/>
          <w:snapToGrid/>
          <w:szCs w:val="24"/>
          <w:u w:val="single"/>
        </w:rPr>
        <w:t>Scott</w:t>
      </w:r>
      <w:r w:rsidRPr="00776D18">
        <w:rPr>
          <w:rFonts w:ascii="Bookman Old Style" w:hAnsi="Bookman Old Style"/>
          <w:i/>
          <w:snapToGrid/>
          <w:szCs w:val="24"/>
        </w:rPr>
        <w:t>, Com. Dec. 87H-EB-162, June 18, 1987.</w:t>
      </w:r>
    </w:p>
    <w:p w:rsidR="00C627CB" w:rsidRDefault="00657E8E" w:rsidP="00C627CB">
      <w:pPr>
        <w:tabs>
          <w:tab w:val="left" w:pos="-1440"/>
          <w:tab w:val="left" w:pos="-720"/>
        </w:tabs>
        <w:suppressAutoHyphens/>
        <w:rPr>
          <w:rFonts w:ascii="Bookman Old Style" w:hAnsi="Bookman Old Style"/>
        </w:rPr>
      </w:pPr>
      <w:r>
        <w:rPr>
          <w:rFonts w:ascii="Bookman Old Style" w:hAnsi="Bookman Old Style"/>
        </w:rPr>
        <w:t>The claimant’s reason for is understandable, however it is not an allowable reason for travel. Although the claimant reasonably argued that he could respond promptly to a call to work from any airport, t</w:t>
      </w:r>
      <w:r w:rsidR="00C627CB">
        <w:rPr>
          <w:rFonts w:ascii="Bookman Old Style" w:hAnsi="Bookman Old Style"/>
        </w:rPr>
        <w:t xml:space="preserve">he wording in the travel regulation is clear, as are the facts in this case.  The claimant did not travel for one of the allowable reasons and he was not available in his area of residence </w:t>
      </w:r>
      <w:r>
        <w:rPr>
          <w:rFonts w:ascii="Bookman Old Style" w:hAnsi="Bookman Old Style"/>
        </w:rPr>
        <w:t>for five days in either week</w:t>
      </w:r>
      <w:r w:rsidR="00C627CB">
        <w:rPr>
          <w:rFonts w:ascii="Bookman Old Style" w:hAnsi="Bookman Old Style"/>
        </w:rPr>
        <w:t xml:space="preserve">.  As in </w:t>
      </w:r>
      <w:r w:rsidR="00C627CB" w:rsidRPr="00C627CB">
        <w:rPr>
          <w:rFonts w:ascii="Bookman Old Style" w:hAnsi="Bookman Old Style"/>
          <w:u w:val="single"/>
        </w:rPr>
        <w:t>Scott</w:t>
      </w:r>
      <w:r w:rsidR="00C627CB">
        <w:rPr>
          <w:rFonts w:ascii="Bookman Old Style" w:hAnsi="Bookman Old Style"/>
        </w:rPr>
        <w:t>, the Tribunal must find the claimant’s benefits were properly denied.</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DECISION</w:t>
      </w:r>
    </w:p>
    <w:p w:rsidR="00616448" w:rsidRPr="0080286F" w:rsidRDefault="00616448" w:rsidP="0080286F">
      <w:pPr>
        <w:tabs>
          <w:tab w:val="left" w:pos="-1440"/>
          <w:tab w:val="left" w:pos="-720"/>
        </w:tabs>
        <w:suppressAutoHyphens/>
        <w:rPr>
          <w:rFonts w:ascii="Bookman Old Style" w:hAnsi="Bookman Old Style"/>
          <w:szCs w:val="24"/>
        </w:rPr>
      </w:pPr>
    </w:p>
    <w:p w:rsidR="0080286F" w:rsidRPr="00E663B4" w:rsidRDefault="0080286F" w:rsidP="0080286F">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36337A">
        <w:rPr>
          <w:rFonts w:ascii="Bookman Old Style" w:hAnsi="Bookman Old Style"/>
          <w:szCs w:val="24"/>
        </w:rPr>
        <w:t>May 27, 2020</w:t>
      </w:r>
      <w:r w:rsidRPr="00E663B4">
        <w:rPr>
          <w:rFonts w:ascii="Bookman Old Style" w:hAnsi="Bookman Old Style"/>
          <w:szCs w:val="24"/>
        </w:rPr>
        <w:t xml:space="preserve"> is </w:t>
      </w:r>
      <w:r w:rsidR="0036337A">
        <w:rPr>
          <w:rFonts w:ascii="Bookman Old Style" w:hAnsi="Bookman Old Style"/>
          <w:b/>
          <w:szCs w:val="24"/>
        </w:rPr>
        <w:t>AFFIRMED</w:t>
      </w:r>
      <w:r w:rsidRPr="00E663B4">
        <w:rPr>
          <w:rFonts w:ascii="Bookman Old Style" w:hAnsi="Bookman Old Style"/>
          <w:szCs w:val="24"/>
        </w:rPr>
        <w:t xml:space="preserve">. Benefits </w:t>
      </w:r>
      <w:r w:rsidR="0036337A">
        <w:rPr>
          <w:rFonts w:ascii="Bookman Old Style" w:hAnsi="Bookman Old Style"/>
          <w:szCs w:val="24"/>
        </w:rPr>
        <w:t>remain</w:t>
      </w:r>
      <w:r w:rsidRPr="00E663B4">
        <w:rPr>
          <w:rFonts w:ascii="Bookman Old Style" w:hAnsi="Bookman Old Style"/>
          <w:szCs w:val="24"/>
        </w:rPr>
        <w:t xml:space="preserve"> </w:t>
      </w:r>
      <w:r w:rsidR="0036337A">
        <w:rPr>
          <w:rFonts w:ascii="Bookman Old Style" w:hAnsi="Bookman Old Style"/>
          <w:b/>
          <w:szCs w:val="24"/>
        </w:rPr>
        <w:t>DENIED</w:t>
      </w:r>
      <w:r w:rsidRPr="00E663B4">
        <w:rPr>
          <w:rFonts w:ascii="Bookman Old Style" w:hAnsi="Bookman Old Style"/>
          <w:szCs w:val="24"/>
        </w:rPr>
        <w:t xml:space="preserve"> for the weeks ending </w:t>
      </w:r>
      <w:r w:rsidR="0036337A">
        <w:rPr>
          <w:rFonts w:ascii="Bookman Old Style" w:hAnsi="Bookman Old Style"/>
          <w:szCs w:val="24"/>
        </w:rPr>
        <w:t>May 9, 2020 and May 16, 2020</w:t>
      </w:r>
      <w:r w:rsidRPr="00E663B4">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APPEAL RIGHTS</w:t>
      </w:r>
    </w:p>
    <w:p w:rsidR="0080286F" w:rsidRDefault="0080286F" w:rsidP="0080286F">
      <w:pPr>
        <w:rPr>
          <w:rFonts w:ascii="Bookman Old Style" w:hAnsi="Bookman Old Style"/>
          <w:szCs w:val="24"/>
        </w:rPr>
      </w:pPr>
    </w:p>
    <w:p w:rsidR="0080286F" w:rsidRPr="006364B5" w:rsidRDefault="0080286F" w:rsidP="0080286F">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120165"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Dated and m</w:t>
      </w:r>
      <w:r w:rsidR="00616448" w:rsidRPr="0080286F">
        <w:rPr>
          <w:rFonts w:ascii="Bookman Old Style" w:hAnsi="Bookman Old Style"/>
          <w:szCs w:val="24"/>
        </w:rPr>
        <w:t>ailed</w:t>
      </w:r>
      <w:r w:rsidR="00B40182" w:rsidRPr="0080286F">
        <w:rPr>
          <w:rFonts w:ascii="Bookman Old Style" w:hAnsi="Bookman Old Style"/>
          <w:szCs w:val="24"/>
        </w:rPr>
        <w:t xml:space="preserve"> </w:t>
      </w:r>
      <w:r w:rsidR="00616448" w:rsidRPr="0080286F">
        <w:rPr>
          <w:rFonts w:ascii="Bookman Old Style" w:hAnsi="Bookman Old Style"/>
          <w:szCs w:val="24"/>
        </w:rPr>
        <w:t xml:space="preserve">on </w:t>
      </w:r>
      <w:r w:rsidR="0036337A">
        <w:rPr>
          <w:rFonts w:ascii="Bookman Old Style" w:hAnsi="Bookman Old Style"/>
          <w:szCs w:val="24"/>
        </w:rPr>
        <w:t>June 24, 2020</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381A9C"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t xml:space="preserve">       </w:t>
      </w:r>
    </w:p>
    <w:p w:rsidR="00B40182" w:rsidRPr="0080286F" w:rsidRDefault="00B40182" w:rsidP="0080286F">
      <w:pPr>
        <w:tabs>
          <w:tab w:val="left" w:pos="-1440"/>
          <w:tab w:val="left" w:pos="-720"/>
        </w:tabs>
        <w:suppressAutoHyphens/>
        <w:rPr>
          <w:rFonts w:ascii="Bookman Old Style" w:hAnsi="Bookman Old Style"/>
          <w:szCs w:val="24"/>
        </w:rPr>
      </w:pPr>
    </w:p>
    <w:p w:rsidR="00B40182" w:rsidRPr="0080286F" w:rsidRDefault="00B40182" w:rsidP="0080286F">
      <w:pPr>
        <w:tabs>
          <w:tab w:val="left" w:pos="-1440"/>
          <w:tab w:val="left" w:pos="-720"/>
        </w:tabs>
        <w:suppressAutoHyphens/>
        <w:rPr>
          <w:rFonts w:ascii="Bookman Old Style" w:hAnsi="Bookman Old Style"/>
          <w:szCs w:val="24"/>
        </w:rPr>
      </w:pPr>
    </w:p>
    <w:p w:rsidR="00B40182" w:rsidRPr="0080286F" w:rsidRDefault="00B40182" w:rsidP="0080286F">
      <w:pPr>
        <w:tabs>
          <w:tab w:val="left" w:pos="-1440"/>
          <w:tab w:val="left" w:pos="-720"/>
        </w:tabs>
        <w:suppressAutoHyphens/>
        <w:rPr>
          <w:rFonts w:ascii="Bookman Old Style" w:hAnsi="Bookman Old Style"/>
          <w:szCs w:val="24"/>
        </w:rPr>
      </w:pPr>
    </w:p>
    <w:p w:rsidR="00616448" w:rsidRPr="0080286F" w:rsidRDefault="00381A9C"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t xml:space="preserve">     </w:t>
      </w:r>
      <w:r w:rsidR="00227226" w:rsidRPr="0080286F">
        <w:rPr>
          <w:rFonts w:ascii="Bookman Old Style" w:hAnsi="Bookman Old Style"/>
          <w:szCs w:val="24"/>
        </w:rPr>
        <w:t xml:space="preserve">  </w:t>
      </w:r>
      <w:r w:rsidR="0036337A">
        <w:rPr>
          <w:rFonts w:ascii="Bookman Old Style" w:hAnsi="Bookman Old Style"/>
          <w:szCs w:val="24"/>
        </w:rPr>
        <w:t>Rhonda Buness</w:t>
      </w:r>
      <w:r w:rsidR="00616448" w:rsidRPr="0080286F">
        <w:rPr>
          <w:rFonts w:ascii="Bookman Old Style" w:hAnsi="Bookman Old Style"/>
          <w:szCs w:val="24"/>
        </w:rPr>
        <w:t xml:space="preserve">, </w:t>
      </w:r>
      <w:r w:rsidR="00F24790">
        <w:rPr>
          <w:rFonts w:ascii="Bookman Old Style" w:hAnsi="Bookman Old Style"/>
          <w:szCs w:val="24"/>
        </w:rPr>
        <w:t>Appeals</w:t>
      </w:r>
      <w:r w:rsidR="00616448" w:rsidRPr="0080286F">
        <w:rPr>
          <w:rFonts w:ascii="Bookman Old Style" w:hAnsi="Bookman Old Style"/>
          <w:szCs w:val="24"/>
        </w:rPr>
        <w:t xml:space="preserve"> Officer</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s>
        <w:suppressAutoHyphens/>
        <w:rPr>
          <w:rFonts w:ascii="Bookman Old Style" w:hAnsi="Bookman Old Style"/>
          <w:szCs w:val="24"/>
        </w:rPr>
      </w:pPr>
    </w:p>
    <w:p w:rsidR="00A272E4" w:rsidRPr="0080286F" w:rsidRDefault="00A272E4" w:rsidP="0080286F">
      <w:pPr>
        <w:tabs>
          <w:tab w:val="left" w:pos="-1440"/>
          <w:tab w:val="left" w:pos="-720"/>
        </w:tabs>
        <w:suppressAutoHyphens/>
        <w:rPr>
          <w:rFonts w:ascii="Bookman Old Style" w:hAnsi="Bookman Old Style"/>
          <w:szCs w:val="24"/>
        </w:rPr>
      </w:pPr>
    </w:p>
    <w:sectPr w:rsidR="00A272E4" w:rsidRPr="0080286F">
      <w:headerReference w:type="default" r:id="rId7"/>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62A" w:rsidRDefault="0093162A">
      <w:pPr>
        <w:widowControl/>
        <w:spacing w:line="20" w:lineRule="exact"/>
      </w:pPr>
    </w:p>
  </w:endnote>
  <w:endnote w:type="continuationSeparator" w:id="0">
    <w:p w:rsidR="0093162A" w:rsidRDefault="0093162A">
      <w:r>
        <w:t xml:space="preserve"> </w:t>
      </w:r>
    </w:p>
  </w:endnote>
  <w:endnote w:type="continuationNotice" w:id="1">
    <w:p w:rsidR="0093162A" w:rsidRDefault="009316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62A" w:rsidRDefault="0093162A">
      <w:r>
        <w:separator/>
      </w:r>
    </w:p>
  </w:footnote>
  <w:footnote w:type="continuationSeparator" w:id="0">
    <w:p w:rsidR="0093162A" w:rsidRDefault="0093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776D18">
    <w:pPr>
      <w:pStyle w:val="Header"/>
      <w:rPr>
        <w:rFonts w:ascii="Bookman Old Style" w:hAnsi="Bookman Old Style"/>
      </w:rPr>
    </w:pPr>
    <w:r>
      <w:rPr>
        <w:rFonts w:ascii="Bookman Old Style" w:hAnsi="Bookman Old Style"/>
      </w:rPr>
      <w:t xml:space="preserve">Docket # </w:t>
    </w:r>
    <w:r w:rsidR="0036337A">
      <w:rPr>
        <w:rFonts w:ascii="Bookman Old Style" w:hAnsi="Bookman Old Style"/>
      </w:rPr>
      <w:t>20 0621</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807039">
      <w:rPr>
        <w:rStyle w:val="PageNumber"/>
        <w:rFonts w:ascii="Bookman Old Style" w:hAnsi="Bookman Old Style"/>
        <w:noProof/>
      </w:rPr>
      <w:t>5</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2A"/>
    <w:rsid w:val="00024731"/>
    <w:rsid w:val="000A249A"/>
    <w:rsid w:val="000B78FA"/>
    <w:rsid w:val="000C38DB"/>
    <w:rsid w:val="00120165"/>
    <w:rsid w:val="00186D2B"/>
    <w:rsid w:val="00195BE6"/>
    <w:rsid w:val="001B6EDA"/>
    <w:rsid w:val="001C3268"/>
    <w:rsid w:val="001F0AE0"/>
    <w:rsid w:val="0021349C"/>
    <w:rsid w:val="00227226"/>
    <w:rsid w:val="002567A6"/>
    <w:rsid w:val="00260E81"/>
    <w:rsid w:val="002841F8"/>
    <w:rsid w:val="002975A2"/>
    <w:rsid w:val="002A327C"/>
    <w:rsid w:val="002E3F5C"/>
    <w:rsid w:val="002E6F91"/>
    <w:rsid w:val="0034489B"/>
    <w:rsid w:val="0036337A"/>
    <w:rsid w:val="00381A9C"/>
    <w:rsid w:val="003E1D9F"/>
    <w:rsid w:val="004118FA"/>
    <w:rsid w:val="00452FF9"/>
    <w:rsid w:val="0046011D"/>
    <w:rsid w:val="004730DA"/>
    <w:rsid w:val="00477799"/>
    <w:rsid w:val="005A44AD"/>
    <w:rsid w:val="005A7468"/>
    <w:rsid w:val="005B169B"/>
    <w:rsid w:val="005D22E3"/>
    <w:rsid w:val="00616448"/>
    <w:rsid w:val="00657E8E"/>
    <w:rsid w:val="007127F7"/>
    <w:rsid w:val="007751A5"/>
    <w:rsid w:val="00776D18"/>
    <w:rsid w:val="007B7E6F"/>
    <w:rsid w:val="007D5A2A"/>
    <w:rsid w:val="0080286F"/>
    <w:rsid w:val="00807039"/>
    <w:rsid w:val="00817EA6"/>
    <w:rsid w:val="0082594B"/>
    <w:rsid w:val="008B0A31"/>
    <w:rsid w:val="008C1DDE"/>
    <w:rsid w:val="0093162A"/>
    <w:rsid w:val="00935603"/>
    <w:rsid w:val="009C712E"/>
    <w:rsid w:val="009D03D1"/>
    <w:rsid w:val="00A272E4"/>
    <w:rsid w:val="00A6202C"/>
    <w:rsid w:val="00B10C27"/>
    <w:rsid w:val="00B40182"/>
    <w:rsid w:val="00B85712"/>
    <w:rsid w:val="00BC459F"/>
    <w:rsid w:val="00C61DD2"/>
    <w:rsid w:val="00C627CB"/>
    <w:rsid w:val="00C94517"/>
    <w:rsid w:val="00D506D9"/>
    <w:rsid w:val="00DC18B0"/>
    <w:rsid w:val="00DE14C4"/>
    <w:rsid w:val="00EF6EBF"/>
    <w:rsid w:val="00F2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934977"/>
  <w15:chartTrackingRefBased/>
  <w15:docId w15:val="{632F6483-E88F-4642-B5DA-E97DDD39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181">
      <w:bodyDiv w:val="1"/>
      <w:marLeft w:val="0"/>
      <w:marRight w:val="0"/>
      <w:marTop w:val="0"/>
      <w:marBottom w:val="0"/>
      <w:divBdr>
        <w:top w:val="none" w:sz="0" w:space="0" w:color="auto"/>
        <w:left w:val="none" w:sz="0" w:space="0" w:color="auto"/>
        <w:bottom w:val="none" w:sz="0" w:space="0" w:color="auto"/>
        <w:right w:val="none" w:sz="0" w:space="0" w:color="auto"/>
      </w:divBdr>
    </w:div>
    <w:div w:id="1107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2%20General%20Travel%207-19-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 General Travel 7-19-19</Template>
  <TotalTime>0</TotalTime>
  <Pages>5</Pages>
  <Words>1318</Words>
  <Characters>6622</Characters>
  <Application>Microsoft Office Word</Application>
  <DocSecurity>0</DocSecurity>
  <Lines>194</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2020-06-24T23:27:00Z</dcterms:created>
  <dcterms:modified xsi:type="dcterms:W3CDTF">2020-06-24T23:27:00Z</dcterms:modified>
</cp:coreProperties>
</file>