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6A5474"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B6394E">
        <w:rPr>
          <w:rFonts w:ascii="Bookman Old Style" w:hAnsi="Bookman Old Style"/>
          <w:szCs w:val="24"/>
        </w:rPr>
        <w:t>20 0642</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B6394E">
        <w:rPr>
          <w:rFonts w:ascii="Bookman Old Style" w:hAnsi="Bookman Old Style"/>
          <w:szCs w:val="24"/>
        </w:rPr>
        <w:t>June 25, 2020</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B6394E" w:rsidRPr="00B6394E" w:rsidRDefault="00B6394E" w:rsidP="00B6394E">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TRISTAN</w:t>
      </w:r>
      <w:r w:rsidRPr="00B6394E">
        <w:rPr>
          <w:rFonts w:ascii="Bookman Old Style" w:hAnsi="Bookman Old Style"/>
          <w:szCs w:val="24"/>
        </w:rPr>
        <w:t xml:space="preserve"> DURAN</w:t>
      </w:r>
    </w:p>
    <w:p w:rsidR="00E63D22" w:rsidRDefault="00E63D22" w:rsidP="00B6394E">
      <w:pPr>
        <w:tabs>
          <w:tab w:val="left" w:pos="-1440"/>
          <w:tab w:val="left" w:pos="-720"/>
          <w:tab w:val="left" w:pos="0"/>
          <w:tab w:val="left" w:pos="5760"/>
        </w:tabs>
        <w:suppressAutoHyphens/>
        <w:ind w:right="-360"/>
        <w:rPr>
          <w:rFonts w:ascii="Bookman Old Style" w:hAnsi="Bookman Old Style"/>
          <w:szCs w:val="24"/>
        </w:rPr>
      </w:pPr>
    </w:p>
    <w:p w:rsidR="00E63D22" w:rsidRDefault="00E63D22" w:rsidP="00B6394E">
      <w:pPr>
        <w:tabs>
          <w:tab w:val="left" w:pos="-1440"/>
          <w:tab w:val="left" w:pos="-720"/>
          <w:tab w:val="left" w:pos="0"/>
          <w:tab w:val="left" w:pos="5760"/>
        </w:tabs>
        <w:suppressAutoHyphens/>
        <w:ind w:right="-360"/>
        <w:rPr>
          <w:rFonts w:ascii="Bookman Old Style" w:hAnsi="Bookman Old Style"/>
          <w:szCs w:val="24"/>
        </w:rPr>
      </w:pPr>
    </w:p>
    <w:p w:rsidR="00780095" w:rsidRPr="00304946" w:rsidRDefault="004F7405" w:rsidP="00B6394E">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304946">
        <w:rPr>
          <w:rFonts w:ascii="Bookman Old Style" w:hAnsi="Bookman Old Style"/>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B6394E"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Tristan Duran</w:t>
      </w:r>
      <w:r w:rsidR="00780095" w:rsidRPr="00304946">
        <w:rPr>
          <w:rFonts w:ascii="Bookman Old Style" w:hAnsi="Bookman Old Style"/>
          <w:szCs w:val="24"/>
        </w:rPr>
        <w:tab/>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p>
    <w:p w:rsidR="0078796F" w:rsidRPr="00304946" w:rsidRDefault="0078796F" w:rsidP="00304946">
      <w:pPr>
        <w:tabs>
          <w:tab w:val="left" w:pos="-1440"/>
          <w:tab w:val="left" w:pos="-720"/>
        </w:tabs>
        <w:rPr>
          <w:rFonts w:ascii="Bookman Old Style" w:hAnsi="Bookman Old Style"/>
          <w:szCs w:val="24"/>
        </w:rPr>
      </w:pPr>
    </w:p>
    <w:p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B6394E">
        <w:rPr>
          <w:rFonts w:ascii="Bookman Old Style" w:hAnsi="Bookman Old Style"/>
          <w:szCs w:val="24"/>
        </w:rPr>
        <w:t>claimant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B6394E">
        <w:rPr>
          <w:rFonts w:ascii="Bookman Old Style" w:hAnsi="Bookman Old Style"/>
          <w:szCs w:val="24"/>
        </w:rPr>
        <w:t>April 16, 2020</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B6394E">
        <w:rPr>
          <w:rFonts w:ascii="Bookman Old Style" w:hAnsi="Bookman Old Style"/>
          <w:szCs w:val="24"/>
        </w:rPr>
        <w:t>378</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B6394E">
        <w:rPr>
          <w:rFonts w:ascii="Bookman Old Style" w:hAnsi="Bookman Old Style"/>
          <w:szCs w:val="24"/>
        </w:rPr>
        <w:t>the claimant was not available for work while attending school</w:t>
      </w:r>
      <w:r w:rsidRPr="00304946">
        <w:rPr>
          <w:rFonts w:ascii="Bookman Old Style" w:hAnsi="Bookman Old Style"/>
          <w:szCs w:val="24"/>
        </w:rPr>
        <w:t xml:space="preserve">. The Division mailed the determination to the </w:t>
      </w:r>
      <w:r w:rsidR="00B6394E">
        <w:rPr>
          <w:rFonts w:ascii="Bookman Old Style" w:hAnsi="Bookman Old Style"/>
          <w:szCs w:val="24"/>
        </w:rPr>
        <w:t>claimant</w:t>
      </w:r>
      <w:r w:rsidRPr="00304946">
        <w:rPr>
          <w:rFonts w:ascii="Bookman Old Style" w:hAnsi="Bookman Old Style"/>
          <w:szCs w:val="24"/>
        </w:rPr>
        <w:t xml:space="preserve"> address of record on </w:t>
      </w:r>
      <w:r w:rsidR="00B6394E">
        <w:rPr>
          <w:rFonts w:ascii="Bookman Old Style" w:hAnsi="Bookman Old Style"/>
          <w:szCs w:val="24"/>
        </w:rPr>
        <w:t>April 17, 2020</w:t>
      </w:r>
      <w:r w:rsidRPr="00304946">
        <w:rPr>
          <w:rFonts w:ascii="Bookman Old Style" w:hAnsi="Bookman Old Style"/>
          <w:szCs w:val="24"/>
        </w:rPr>
        <w:t>.</w:t>
      </w:r>
      <w:r w:rsidR="000E7714" w:rsidRPr="00304946">
        <w:rPr>
          <w:rFonts w:ascii="Bookman Old Style" w:hAnsi="Bookman Old Style"/>
          <w:szCs w:val="24"/>
        </w:rPr>
        <w:t xml:space="preserve"> The </w:t>
      </w:r>
      <w:r w:rsidR="00B6394E">
        <w:rPr>
          <w:rFonts w:ascii="Bookman Old Style" w:hAnsi="Bookman Old Style"/>
          <w:szCs w:val="24"/>
        </w:rPr>
        <w:t>claimant</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B6394E">
        <w:rPr>
          <w:rFonts w:ascii="Bookman Old Style" w:hAnsi="Bookman Old Style"/>
          <w:szCs w:val="24"/>
        </w:rPr>
        <w:t>June 5, 2020</w:t>
      </w:r>
      <w:r w:rsidR="000E7714" w:rsidRPr="00304946">
        <w:rPr>
          <w:rFonts w:ascii="Bookman Old Style" w:hAnsi="Bookman Old Style"/>
          <w:szCs w:val="24"/>
        </w:rPr>
        <w:t xml:space="preserve">, giving rise to the issue of the timeliness of the </w:t>
      </w:r>
      <w:r w:rsidR="00B6394E">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rsidR="00B6394E" w:rsidRDefault="00B6394E" w:rsidP="00304946">
      <w:pPr>
        <w:tabs>
          <w:tab w:val="left" w:pos="-1440"/>
          <w:tab w:val="left" w:pos="-720"/>
        </w:tabs>
        <w:rPr>
          <w:rFonts w:ascii="Bookman Old Style" w:hAnsi="Bookman Old Style"/>
          <w:szCs w:val="24"/>
        </w:rPr>
      </w:pPr>
    </w:p>
    <w:p w:rsidR="0078796F" w:rsidRPr="00304946" w:rsidRDefault="00B6394E" w:rsidP="00304946">
      <w:pPr>
        <w:tabs>
          <w:tab w:val="left" w:pos="-1440"/>
          <w:tab w:val="left" w:pos="-720"/>
        </w:tabs>
        <w:rPr>
          <w:rFonts w:ascii="Bookman Old Style" w:hAnsi="Bookman Old Style"/>
          <w:szCs w:val="24"/>
        </w:rPr>
      </w:pPr>
      <w:r>
        <w:rPr>
          <w:rFonts w:ascii="Bookman Old Style" w:hAnsi="Bookman Old Style"/>
          <w:szCs w:val="24"/>
        </w:rPr>
        <w:t xml:space="preserve">The claimant received the determination under review close to the time it was mailed.  He did not agree with the determination and immediately began trying to contact the Division.  The claimant tried calling at least three times a week and was never able to contact a claim center representative due to the volume of calls to the Division as a result of the COVID-19 pandemic.  The claimant was not </w:t>
      </w:r>
      <w:r w:rsidR="009D2FE8">
        <w:rPr>
          <w:rFonts w:ascii="Bookman Old Style" w:hAnsi="Bookman Old Style"/>
          <w:szCs w:val="24"/>
        </w:rPr>
        <w:t>contacted</w:t>
      </w:r>
      <w:r>
        <w:rPr>
          <w:rFonts w:ascii="Bookman Old Style" w:hAnsi="Bookman Old Style"/>
          <w:szCs w:val="24"/>
        </w:rPr>
        <w:t xml:space="preserve"> when he left his number when directed to do so in order to be called back by a representative. The claimant eventually reached the claim center on June 5, 2020.  His appeal was taken that day.</w:t>
      </w:r>
    </w:p>
    <w:p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rsidR="0078796F" w:rsidRPr="00304946" w:rsidRDefault="0078796F" w:rsidP="00304946">
      <w:pPr>
        <w:suppressAutoHyphens/>
        <w:rPr>
          <w:rFonts w:ascii="Bookman Old Style" w:hAnsi="Bookman Old Style"/>
          <w:spacing w:val="-3"/>
          <w:szCs w:val="24"/>
        </w:rPr>
      </w:pPr>
    </w:p>
    <w:p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w:t>
      </w:r>
      <w:r w:rsidR="0078796F" w:rsidRPr="00304946">
        <w:rPr>
          <w:rFonts w:ascii="Bookman Old Style" w:hAnsi="Bookman Old Style"/>
          <w:spacing w:val="-3"/>
          <w:szCs w:val="24"/>
        </w:rPr>
        <w:lastRenderedPageBreak/>
        <w:t>claimant's control.</w:t>
      </w: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78796F" w:rsidRPr="00304946" w:rsidRDefault="0078796F" w:rsidP="00304946">
      <w:pPr>
        <w:tabs>
          <w:tab w:val="left" w:pos="-720"/>
        </w:tabs>
        <w:suppressAutoHyphens/>
        <w:rPr>
          <w:rFonts w:ascii="Bookman Old Style" w:hAnsi="Bookman Old Style"/>
          <w:spacing w:val="-3"/>
          <w:szCs w:val="24"/>
        </w:rPr>
      </w:pPr>
    </w:p>
    <w:p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rsidR="0078796F" w:rsidRPr="00B6394E" w:rsidRDefault="0078796F" w:rsidP="00B6394E">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rsidR="0078796F" w:rsidRPr="00304946" w:rsidRDefault="0078796F" w:rsidP="00304946">
      <w:pPr>
        <w:rPr>
          <w:rFonts w:ascii="Bookman Old Style" w:hAnsi="Bookman Old Style"/>
          <w:spacing w:val="-3"/>
          <w:szCs w:val="24"/>
        </w:rPr>
      </w:pPr>
    </w:p>
    <w:p w:rsidR="0078796F" w:rsidRPr="00304946" w:rsidRDefault="0078796F" w:rsidP="00304946">
      <w:pPr>
        <w:rPr>
          <w:rFonts w:ascii="Bookman Old Style" w:hAnsi="Bookman Old Style"/>
          <w:spacing w:val="-3"/>
          <w:szCs w:val="24"/>
        </w:rPr>
      </w:pPr>
      <w:r w:rsidRPr="00304946">
        <w:rPr>
          <w:rFonts w:ascii="Bookman Old Style" w:hAnsi="Bookman Old Style"/>
          <w:spacing w:val="-3"/>
          <w:szCs w:val="24"/>
        </w:rPr>
        <w:t xml:space="preserve">The purposes and policies of the Act are not served by a strict application of the procedural requirements to the detriment of a person the statute is intended to serve, especially when no apparent prejudice would otherwise be caused to the Department.  </w:t>
      </w:r>
      <w:r w:rsidRPr="00304946">
        <w:rPr>
          <w:rFonts w:ascii="Bookman Old Style" w:hAnsi="Bookman Old Style"/>
          <w:spacing w:val="-3"/>
          <w:szCs w:val="24"/>
          <w:u w:val="single"/>
        </w:rPr>
        <w:t>Estes v. Department of Labor</w:t>
      </w:r>
      <w:r w:rsidRPr="00304946">
        <w:rPr>
          <w:rFonts w:ascii="Bookman Old Style" w:hAnsi="Bookman Old Style"/>
          <w:i/>
          <w:spacing w:val="-3"/>
          <w:szCs w:val="24"/>
        </w:rPr>
        <w:t xml:space="preserve">, </w:t>
      </w:r>
      <w:r w:rsidRPr="00304946">
        <w:rPr>
          <w:rFonts w:ascii="Bookman Old Style" w:hAnsi="Bookman Old Style"/>
          <w:spacing w:val="-3"/>
          <w:szCs w:val="24"/>
        </w:rPr>
        <w:t>625 P.2d 293 (Alaska 1981).</w:t>
      </w:r>
    </w:p>
    <w:p w:rsidR="0078796F" w:rsidRPr="00304946" w:rsidRDefault="0078796F" w:rsidP="00304946">
      <w:pPr>
        <w:tabs>
          <w:tab w:val="left" w:pos="1440"/>
          <w:tab w:val="left" w:pos="2160"/>
          <w:tab w:val="left" w:pos="5586"/>
          <w:tab w:val="left" w:pos="5760"/>
        </w:tabs>
        <w:suppressAutoHyphens/>
        <w:rPr>
          <w:rFonts w:ascii="Bookman Old Style" w:hAnsi="Bookman Old Style"/>
          <w:spacing w:val="-3"/>
          <w:szCs w:val="24"/>
        </w:rPr>
      </w:pPr>
    </w:p>
    <w:p w:rsidR="0078796F" w:rsidRPr="00304946" w:rsidRDefault="0078796F" w:rsidP="00304946">
      <w:pPr>
        <w:suppressAutoHyphens/>
        <w:rPr>
          <w:rFonts w:ascii="Bookman Old Style" w:hAnsi="Bookman Old Style"/>
          <w:spacing w:val="-3"/>
          <w:szCs w:val="24"/>
        </w:rPr>
      </w:pPr>
      <w:r w:rsidRPr="00304946">
        <w:rPr>
          <w:rFonts w:ascii="Bookman Old Style" w:hAnsi="Bookman Old Style"/>
          <w:spacing w:val="-3"/>
          <w:szCs w:val="24"/>
        </w:rPr>
        <w:t xml:space="preserve">It is clear from </w:t>
      </w:r>
      <w:r w:rsidRPr="00304946">
        <w:rPr>
          <w:rFonts w:ascii="Bookman Old Style" w:hAnsi="Bookman Old Style"/>
          <w:spacing w:val="-3"/>
          <w:szCs w:val="24"/>
          <w:u w:val="single"/>
        </w:rPr>
        <w:t>Estes v. Department of Labor</w:t>
      </w:r>
      <w:r w:rsidRPr="00304946">
        <w:rPr>
          <w:rFonts w:ascii="Bookman Old Style" w:hAnsi="Bookman Old Style"/>
          <w:spacing w:val="-3"/>
          <w:szCs w:val="24"/>
        </w:rPr>
        <w:t xml:space="preserve">, 625 P.2d 293 (Alaska 1981) that a late claimant must show some quantum of cause; implicit is the requirement that the claimant's delay be caused by some incapacity, be it youth, illness, limited education, delay by the post office, or excusable misunderstanding, at the very least, and that the state suffer no prejudice. If the delay is short, the claimant need show only some cause; for longer delays, more cause must be shown. </w:t>
      </w:r>
      <w:r w:rsidRPr="00304946">
        <w:rPr>
          <w:rFonts w:ascii="Bookman Old Style" w:hAnsi="Bookman Old Style"/>
          <w:spacing w:val="-3"/>
          <w:szCs w:val="24"/>
          <w:u w:val="single"/>
        </w:rPr>
        <w:t>Borton v. Emp. Sec. Div.</w:t>
      </w:r>
      <w:r w:rsidRPr="00304946">
        <w:rPr>
          <w:rFonts w:ascii="Bookman Old Style" w:hAnsi="Bookman Old Style"/>
          <w:spacing w:val="-3"/>
          <w:szCs w:val="24"/>
        </w:rPr>
        <w:t>, Super. Ct., 1KE-84-620 CI, (Alaska, October 10, 1985).</w:t>
      </w:r>
    </w:p>
    <w:p w:rsidR="0078796F" w:rsidRPr="00304946" w:rsidRDefault="0078796F" w:rsidP="00304946">
      <w:pPr>
        <w:tabs>
          <w:tab w:val="left" w:pos="-720"/>
          <w:tab w:val="left" w:pos="1440"/>
        </w:tabs>
        <w:suppressAutoHyphens/>
        <w:rPr>
          <w:rFonts w:ascii="Bookman Old Style" w:hAnsi="Bookman Old Style"/>
          <w:spacing w:val="-3"/>
          <w:szCs w:val="24"/>
        </w:rPr>
      </w:pPr>
    </w:p>
    <w:p w:rsidR="009D2FE8" w:rsidRDefault="00B6394E" w:rsidP="00B6394E">
      <w:pPr>
        <w:tabs>
          <w:tab w:val="left" w:pos="-720"/>
          <w:tab w:val="left" w:pos="1440"/>
        </w:tabs>
        <w:suppressAutoHyphens/>
        <w:rPr>
          <w:rFonts w:ascii="Bookman Old Style" w:hAnsi="Bookman Old Style"/>
          <w:szCs w:val="24"/>
        </w:rPr>
      </w:pPr>
      <w:r>
        <w:rPr>
          <w:rFonts w:ascii="Bookman Old Style" w:hAnsi="Bookman Old Style"/>
          <w:szCs w:val="24"/>
        </w:rPr>
        <w:t>The claimant in this case tried to preserve his appeal rights very shortly after he received the determination. He was unable to get through by phone because the claim center’s phones were overhwelmed with callers.  The claimant’s appeal was filed within a reasonably short period consider the Division’s inability to accept calls. The Tribunal</w:t>
      </w:r>
    </w:p>
    <w:p w:rsidR="009D2FE8" w:rsidRDefault="009D2FE8" w:rsidP="00B6394E">
      <w:pPr>
        <w:tabs>
          <w:tab w:val="left" w:pos="-720"/>
          <w:tab w:val="left" w:pos="1440"/>
        </w:tabs>
        <w:suppressAutoHyphens/>
        <w:rPr>
          <w:rFonts w:ascii="Bookman Old Style" w:hAnsi="Bookman Old Style"/>
          <w:szCs w:val="24"/>
        </w:rPr>
      </w:pPr>
    </w:p>
    <w:p w:rsidR="0078796F" w:rsidRPr="00B6394E" w:rsidRDefault="00B6394E" w:rsidP="00B6394E">
      <w:pPr>
        <w:tabs>
          <w:tab w:val="left" w:pos="-720"/>
          <w:tab w:val="left" w:pos="1440"/>
        </w:tabs>
        <w:suppressAutoHyphens/>
        <w:rPr>
          <w:rFonts w:ascii="Bookman Old Style" w:hAnsi="Bookman Old Style"/>
          <w:spacing w:val="-3"/>
          <w:szCs w:val="24"/>
        </w:rPr>
      </w:pPr>
      <w:r>
        <w:rPr>
          <w:rFonts w:ascii="Bookman Old Style" w:hAnsi="Bookman Old Style"/>
          <w:szCs w:val="24"/>
        </w:rPr>
        <w:t>finds the claimant’s delayed appeal was a result of circumstances beyond his control and therefor may be accepted as timely filed.</w:t>
      </w:r>
    </w:p>
    <w:p w:rsidR="0078796F" w:rsidRPr="00304946" w:rsidRDefault="0078796F" w:rsidP="00304946">
      <w:pPr>
        <w:tabs>
          <w:tab w:val="left" w:pos="-1440"/>
          <w:tab w:val="left" w:pos="-720"/>
        </w:tabs>
        <w:rPr>
          <w:rFonts w:ascii="Bookman Old Style" w:hAnsi="Bookman Old Style"/>
          <w:szCs w:val="24"/>
        </w:rPr>
      </w:pPr>
    </w:p>
    <w:p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p>
    <w:p w:rsidR="0078796F" w:rsidRPr="00304946" w:rsidRDefault="0078796F" w:rsidP="00304946">
      <w:pPr>
        <w:tabs>
          <w:tab w:val="left" w:pos="-1440"/>
          <w:tab w:val="left" w:pos="-720"/>
        </w:tabs>
        <w:rPr>
          <w:rFonts w:ascii="Bookman Old Style" w:hAnsi="Bookman Old Style"/>
          <w:szCs w:val="24"/>
        </w:rPr>
      </w:pPr>
    </w:p>
    <w:p w:rsidR="0078796F"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B6394E">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B6394E">
        <w:rPr>
          <w:rFonts w:ascii="Bookman Old Style" w:hAnsi="Bookman Old Style"/>
          <w:spacing w:val="-3"/>
          <w:szCs w:val="24"/>
        </w:rPr>
        <w:t>April 16, 2020</w:t>
      </w:r>
      <w:r w:rsidR="0078796F" w:rsidRPr="00304946">
        <w:rPr>
          <w:rFonts w:ascii="Bookman Old Style" w:hAnsi="Bookman Old Style"/>
          <w:spacing w:val="-3"/>
          <w:szCs w:val="24"/>
        </w:rPr>
        <w:t xml:space="preserve"> is </w:t>
      </w:r>
      <w:r w:rsidRPr="00304946">
        <w:rPr>
          <w:rFonts w:ascii="Bookman Old Style" w:hAnsi="Bookman Old Style"/>
          <w:spacing w:val="-3"/>
          <w:szCs w:val="24"/>
        </w:rPr>
        <w:t>as timely filed.</w:t>
      </w:r>
    </w:p>
    <w:p w:rsidR="00B6394E" w:rsidRDefault="00B6394E" w:rsidP="00304946">
      <w:pPr>
        <w:tabs>
          <w:tab w:val="left" w:pos="-720"/>
          <w:tab w:val="left" w:pos="1440"/>
        </w:tabs>
        <w:suppressAutoHyphens/>
        <w:rPr>
          <w:rFonts w:ascii="Bookman Old Style" w:hAnsi="Bookman Old Style"/>
          <w:spacing w:val="-3"/>
          <w:szCs w:val="24"/>
        </w:rPr>
      </w:pPr>
    </w:p>
    <w:p w:rsidR="00B6394E" w:rsidRPr="00B65DD5" w:rsidRDefault="00B6394E" w:rsidP="00B6394E">
      <w:pPr>
        <w:tabs>
          <w:tab w:val="center" w:pos="4680"/>
        </w:tabs>
        <w:suppressAutoHyphens/>
        <w:jc w:val="center"/>
        <w:rPr>
          <w:rFonts w:ascii="Bookman Old Style" w:hAnsi="Bookman Old Style"/>
          <w:szCs w:val="24"/>
        </w:rPr>
      </w:pPr>
      <w:r w:rsidRPr="00B65DD5">
        <w:rPr>
          <w:rFonts w:ascii="Bookman Old Style" w:hAnsi="Bookman Old Style"/>
          <w:b/>
          <w:szCs w:val="24"/>
        </w:rPr>
        <w:t>CASE HISTORY</w:t>
      </w:r>
    </w:p>
    <w:p w:rsidR="00B6394E" w:rsidRPr="00B65DD5" w:rsidRDefault="00B6394E" w:rsidP="00B6394E">
      <w:pPr>
        <w:tabs>
          <w:tab w:val="left" w:pos="-1440"/>
          <w:tab w:val="left" w:pos="-720"/>
        </w:tabs>
        <w:suppressAutoHyphens/>
        <w:rPr>
          <w:rFonts w:ascii="Bookman Old Style" w:hAnsi="Bookman Old Style"/>
          <w:szCs w:val="24"/>
        </w:rPr>
      </w:pPr>
    </w:p>
    <w:p w:rsidR="00B6394E" w:rsidRPr="00B65DD5" w:rsidRDefault="00B6394E" w:rsidP="00B6394E">
      <w:pPr>
        <w:rPr>
          <w:rFonts w:ascii="Bookman Old Style" w:hAnsi="Bookman Old Style"/>
          <w:snapToGrid/>
          <w:szCs w:val="24"/>
        </w:rPr>
      </w:pPr>
      <w:r w:rsidRPr="00B65DD5">
        <w:rPr>
          <w:rFonts w:ascii="Bookman Old Style" w:hAnsi="Bookman Old Style"/>
          <w:szCs w:val="24"/>
        </w:rPr>
        <w:t xml:space="preserve">The </w:t>
      </w:r>
      <w:r>
        <w:rPr>
          <w:rFonts w:ascii="Bookman Old Style" w:hAnsi="Bookman Old Style"/>
          <w:szCs w:val="24"/>
        </w:rPr>
        <w:t>determination issued April 16, 2020denied the</w:t>
      </w:r>
      <w:r w:rsidRPr="00B65DD5">
        <w:rPr>
          <w:rFonts w:ascii="Bookman Old Style" w:hAnsi="Bookman Old Style"/>
          <w:szCs w:val="24"/>
        </w:rPr>
        <w:t xml:space="preserve"> </w:t>
      </w:r>
      <w:r>
        <w:rPr>
          <w:rFonts w:ascii="Bookman Old Style" w:hAnsi="Bookman Old Style"/>
          <w:szCs w:val="24"/>
        </w:rPr>
        <w:t>claimant’s benefits</w:t>
      </w:r>
      <w:r w:rsidRPr="00B65DD5">
        <w:rPr>
          <w:rFonts w:ascii="Bookman Old Style" w:hAnsi="Bookman Old Style"/>
          <w:szCs w:val="24"/>
        </w:rPr>
        <w:t xml:space="preserve"> under </w:t>
      </w:r>
      <w:r w:rsidRPr="00B65DD5">
        <w:rPr>
          <w:rFonts w:ascii="Bookman Old Style" w:hAnsi="Bookman Old Style"/>
          <w:snapToGrid/>
          <w:szCs w:val="24"/>
        </w:rPr>
        <w:t>Alaska Statute 23.20.378(c) and 8 AAC 85.350. The issue is whether the claimant was available for full-time suitable work while attending school.</w:t>
      </w:r>
    </w:p>
    <w:p w:rsidR="00B6394E" w:rsidRPr="00B65DD5" w:rsidRDefault="00B6394E" w:rsidP="00B6394E">
      <w:pPr>
        <w:tabs>
          <w:tab w:val="left" w:pos="-1440"/>
          <w:tab w:val="left" w:pos="-720"/>
        </w:tabs>
        <w:suppressAutoHyphens/>
        <w:rPr>
          <w:rFonts w:ascii="Bookman Old Style" w:hAnsi="Bookman Old Style"/>
          <w:b/>
          <w:szCs w:val="24"/>
        </w:rPr>
      </w:pPr>
    </w:p>
    <w:p w:rsidR="00B6394E" w:rsidRPr="00B65DD5" w:rsidRDefault="00B6394E" w:rsidP="00B6394E">
      <w:pPr>
        <w:tabs>
          <w:tab w:val="center" w:pos="4680"/>
        </w:tabs>
        <w:suppressAutoHyphens/>
        <w:rPr>
          <w:rFonts w:ascii="Bookman Old Style" w:hAnsi="Bookman Old Style"/>
          <w:b/>
          <w:szCs w:val="24"/>
        </w:rPr>
      </w:pPr>
      <w:r w:rsidRPr="00B65DD5">
        <w:rPr>
          <w:rFonts w:ascii="Bookman Old Style" w:hAnsi="Bookman Old Style"/>
          <w:b/>
          <w:szCs w:val="24"/>
        </w:rPr>
        <w:tab/>
        <w:t>FINDINGS OF FACT</w:t>
      </w:r>
    </w:p>
    <w:p w:rsidR="00B6394E" w:rsidRPr="00B65DD5" w:rsidRDefault="00B6394E" w:rsidP="00B6394E">
      <w:pPr>
        <w:tabs>
          <w:tab w:val="left" w:pos="-1440"/>
          <w:tab w:val="left" w:pos="-720"/>
        </w:tabs>
        <w:suppressAutoHyphens/>
        <w:rPr>
          <w:rFonts w:ascii="Bookman Old Style" w:hAnsi="Bookman Old Style"/>
          <w:szCs w:val="24"/>
        </w:rPr>
      </w:pPr>
    </w:p>
    <w:p w:rsidR="00B6394E" w:rsidRDefault="00B6394E" w:rsidP="00B6394E">
      <w:pPr>
        <w:widowControl/>
        <w:tabs>
          <w:tab w:val="left" w:pos="-1440"/>
          <w:tab w:val="left" w:pos="-720"/>
        </w:tabs>
        <w:spacing w:after="200"/>
        <w:rPr>
          <w:rFonts w:ascii="Bookman Old Style" w:hAnsi="Bookman Old Style"/>
          <w:snapToGrid/>
          <w:szCs w:val="24"/>
        </w:rPr>
      </w:pPr>
      <w:r w:rsidRPr="00B65DD5">
        <w:rPr>
          <w:rFonts w:ascii="Bookman Old Style" w:hAnsi="Bookman Old Style"/>
          <w:snapToGrid/>
          <w:szCs w:val="24"/>
        </w:rPr>
        <w:t>The claimant established a claim for unemployment insurance benefits effective</w:t>
      </w:r>
      <w:r>
        <w:rPr>
          <w:rFonts w:ascii="Bookman Old Style" w:hAnsi="Bookman Old Style"/>
          <w:snapToGrid/>
          <w:szCs w:val="24"/>
        </w:rPr>
        <w:t xml:space="preserve">   </w:t>
      </w:r>
      <w:r w:rsidRPr="00B65DD5">
        <w:rPr>
          <w:rFonts w:ascii="Bookman Old Style" w:hAnsi="Bookman Old Style"/>
          <w:snapToGrid/>
          <w:szCs w:val="24"/>
        </w:rPr>
        <w:t xml:space="preserve"> </w:t>
      </w:r>
      <w:r>
        <w:rPr>
          <w:rFonts w:ascii="Bookman Old Style" w:hAnsi="Bookman Old Style"/>
          <w:snapToGrid/>
          <w:szCs w:val="24"/>
        </w:rPr>
        <w:t>March 29, 2020</w:t>
      </w:r>
      <w:r w:rsidRPr="00B65DD5">
        <w:rPr>
          <w:rFonts w:ascii="Bookman Old Style" w:hAnsi="Bookman Old Style"/>
          <w:snapToGrid/>
          <w:szCs w:val="24"/>
        </w:rPr>
        <w:t xml:space="preserve">. </w:t>
      </w:r>
    </w:p>
    <w:p w:rsidR="00B6394E" w:rsidRDefault="00991AAD" w:rsidP="00B6394E">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is pursing a degree from the University of Alaska, Anchorage campus.  The claimant was taking classes worth 16 credits in the semester that began in January 2020 and ended May 4, 2020. The claimant’s campus closed for Spring break in early March and did not re-open to in-person classes due to the COVID-19 pandemic.  The claimant began taking classes online in mid-March. For the first two weeks, the claimant attended two of his 3-credit classes classes by logging in during the scheduled class time. He attended classes from 1:00 pm to 2:15 pm Tuesday and Thursday and 5:30 pm to 8:15 pm Tuesday. By the beginning of April, the claimant had no required class times and he completed all his course work at his own pace.  </w:t>
      </w:r>
    </w:p>
    <w:p w:rsidR="006A5474" w:rsidRPr="00991AAD" w:rsidRDefault="00991AAD" w:rsidP="00991AA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Before the campus closed, the claimant had worked 4-10 hours per week in student activities. The claimant was laid off when the campus closed.</w:t>
      </w:r>
    </w:p>
    <w:p w:rsidR="006A5474" w:rsidRPr="00B65DD5" w:rsidRDefault="006A5474" w:rsidP="00B6394E">
      <w:pPr>
        <w:tabs>
          <w:tab w:val="center" w:pos="4680"/>
        </w:tabs>
        <w:suppressAutoHyphens/>
        <w:jc w:val="center"/>
        <w:rPr>
          <w:rFonts w:ascii="Bookman Old Style" w:hAnsi="Bookman Old Style"/>
          <w:szCs w:val="24"/>
        </w:rPr>
      </w:pPr>
      <w:r w:rsidRPr="00B65DD5">
        <w:rPr>
          <w:rFonts w:ascii="Bookman Old Style" w:hAnsi="Bookman Old Style"/>
          <w:b/>
          <w:szCs w:val="24"/>
        </w:rPr>
        <w:t>PROVISIONS OF LAW</w:t>
      </w:r>
    </w:p>
    <w:p w:rsidR="006A5474" w:rsidRPr="00B65DD5" w:rsidRDefault="006A5474" w:rsidP="006A5474">
      <w:pPr>
        <w:tabs>
          <w:tab w:val="left" w:pos="-1440"/>
          <w:tab w:val="left" w:pos="-720"/>
          <w:tab w:val="left" w:pos="0"/>
          <w:tab w:val="left" w:pos="720"/>
          <w:tab w:val="left" w:pos="1440"/>
        </w:tabs>
        <w:suppressAutoHyphens/>
        <w:ind w:left="2160" w:hanging="2160"/>
        <w:rPr>
          <w:rFonts w:ascii="Bookman Old Style" w:hAnsi="Bookman Old Style"/>
          <w:szCs w:val="24"/>
        </w:rPr>
      </w:pPr>
      <w:r w:rsidRPr="00B65DD5">
        <w:rPr>
          <w:rFonts w:ascii="Bookman Old Style" w:hAnsi="Bookman Old Style"/>
          <w:szCs w:val="24"/>
        </w:rPr>
        <w:tab/>
      </w:r>
    </w:p>
    <w:p w:rsidR="006A5474" w:rsidRPr="00B65DD5" w:rsidRDefault="006A5474" w:rsidP="006A5474">
      <w:pPr>
        <w:widowControl/>
        <w:tabs>
          <w:tab w:val="left" w:pos="-1440"/>
          <w:tab w:val="left" w:pos="-720"/>
        </w:tabs>
        <w:suppressAutoHyphens/>
        <w:spacing w:after="200"/>
        <w:rPr>
          <w:rFonts w:ascii="Bookman Old Style" w:hAnsi="Bookman Old Style"/>
          <w:b/>
          <w:snapToGrid/>
          <w:szCs w:val="24"/>
        </w:rPr>
      </w:pPr>
      <w:r w:rsidRPr="00B65DD5">
        <w:rPr>
          <w:rFonts w:ascii="Bookman Old Style" w:hAnsi="Bookman Old Style"/>
          <w:b/>
          <w:snapToGrid/>
          <w:szCs w:val="24"/>
        </w:rPr>
        <w:t>AS 23.20.378 provides in part:</w:t>
      </w:r>
    </w:p>
    <w:p w:rsidR="006A5474" w:rsidRPr="00B65DD5" w:rsidRDefault="006A5474" w:rsidP="006A5474">
      <w:pPr>
        <w:widowControl/>
        <w:tabs>
          <w:tab w:val="left" w:pos="-1440"/>
          <w:tab w:val="left" w:pos="-720"/>
          <w:tab w:val="left" w:pos="1170"/>
        </w:tabs>
        <w:suppressAutoHyphens/>
        <w:spacing w:after="200"/>
        <w:ind w:left="1170" w:hanging="720"/>
        <w:rPr>
          <w:rFonts w:ascii="Bookman Old Style" w:hAnsi="Bookman Old Style"/>
          <w:snapToGrid/>
          <w:szCs w:val="24"/>
        </w:rPr>
      </w:pPr>
      <w:r w:rsidRPr="00B65DD5">
        <w:rPr>
          <w:rFonts w:ascii="Bookman Old Style" w:hAnsi="Bookman Old Style"/>
          <w:snapToGrid/>
          <w:szCs w:val="24"/>
        </w:rPr>
        <w:t>(c)</w:t>
      </w:r>
      <w:r w:rsidRPr="00B65DD5">
        <w:rPr>
          <w:rFonts w:ascii="Bookman Old Style" w:hAnsi="Bookman Old Style"/>
          <w:snapToGrid/>
          <w:szCs w:val="24"/>
        </w:rPr>
        <w:tab/>
        <w:t xml:space="preserve">An insured worker is disqualified for waiting-week credit or benefits for a week of unemployment while the insured worker is pursuing an academic education. A disqualification under this subsection begins with the first week of academic instruction and ends with the week immediately before the first full week in which the insured worker is no longer pursuing an academic education. However, an insured worker who has been pursuing an academic education for at least one school term and who was working at least 30 hours a week during a significant portion of the time that the worker was pursuing an academic education is not disqualified for waiting-week credit or benefits under this subsection if the worker's academic schedule does not preclude full-time work in the worker's occupation and if </w:t>
      </w:r>
      <w:r w:rsidRPr="00B65DD5">
        <w:rPr>
          <w:rFonts w:ascii="Bookman Old Style" w:hAnsi="Bookman Old Style"/>
          <w:snapToGrid/>
          <w:szCs w:val="24"/>
        </w:rPr>
        <w:lastRenderedPageBreak/>
        <w:t>the insured worker became unemployed because the worker was laid off or the worker's job was eliminated. In this subsection,</w:t>
      </w:r>
    </w:p>
    <w:p w:rsidR="006A5474" w:rsidRDefault="006A5474" w:rsidP="006A5474">
      <w:pPr>
        <w:widowControl/>
        <w:tabs>
          <w:tab w:val="left" w:pos="-1440"/>
          <w:tab w:val="left" w:pos="-720"/>
          <w:tab w:val="left" w:pos="720"/>
        </w:tabs>
        <w:suppressAutoHyphens/>
        <w:ind w:left="2250" w:hanging="630"/>
        <w:rPr>
          <w:rFonts w:ascii="Bookman Old Style" w:hAnsi="Bookman Old Style"/>
          <w:snapToGrid/>
          <w:szCs w:val="24"/>
        </w:rPr>
      </w:pPr>
      <w:r w:rsidRPr="00B65DD5">
        <w:rPr>
          <w:rFonts w:ascii="Bookman Old Style" w:hAnsi="Bookman Old Style"/>
          <w:snapToGrid/>
          <w:szCs w:val="24"/>
        </w:rPr>
        <w:t>(1)</w:t>
      </w:r>
      <w:r>
        <w:rPr>
          <w:rFonts w:ascii="Bookman Old Style" w:hAnsi="Bookman Old Style"/>
          <w:snapToGrid/>
          <w:szCs w:val="24"/>
        </w:rPr>
        <w:tab/>
      </w:r>
      <w:r w:rsidRPr="00B65DD5">
        <w:rPr>
          <w:rFonts w:ascii="Bookman Old Style" w:hAnsi="Bookman Old Style"/>
          <w:snapToGrid/>
          <w:szCs w:val="24"/>
        </w:rPr>
        <w:t>"pursuing an academic education" means attending an established school in a course of study providi</w:t>
      </w:r>
      <w:r>
        <w:rPr>
          <w:rFonts w:ascii="Bookman Old Style" w:hAnsi="Bookman Old Style"/>
          <w:snapToGrid/>
          <w:szCs w:val="24"/>
        </w:rPr>
        <w:t>ng academic instruction of 10</w:t>
      </w:r>
      <w:r w:rsidRPr="00B65DD5">
        <w:rPr>
          <w:rFonts w:ascii="Bookman Old Style" w:hAnsi="Bookman Old Style"/>
          <w:snapToGrid/>
          <w:szCs w:val="24"/>
        </w:rPr>
        <w:t xml:space="preserve"> or more credit hours per week</w:t>
      </w:r>
      <w:r>
        <w:rPr>
          <w:rFonts w:ascii="Bookman Old Style" w:hAnsi="Bookman Old Style"/>
          <w:snapToGrid/>
          <w:szCs w:val="24"/>
        </w:rPr>
        <w:t>, or the equivalent</w:t>
      </w:r>
    </w:p>
    <w:p w:rsidR="006A5474" w:rsidRDefault="006A5474" w:rsidP="006A5474">
      <w:pPr>
        <w:widowControl/>
        <w:tabs>
          <w:tab w:val="left" w:pos="-1440"/>
          <w:tab w:val="left" w:pos="-720"/>
          <w:tab w:val="left" w:pos="720"/>
        </w:tabs>
        <w:suppressAutoHyphens/>
        <w:ind w:left="2250" w:hanging="630"/>
        <w:rPr>
          <w:rFonts w:ascii="Bookman Old Style" w:hAnsi="Bookman Old Style"/>
          <w:snapToGrid/>
          <w:szCs w:val="24"/>
        </w:rPr>
      </w:pPr>
      <w:r>
        <w:rPr>
          <w:rFonts w:ascii="Bookman Old Style" w:hAnsi="Bookman Old Style"/>
          <w:snapToGrid/>
          <w:szCs w:val="24"/>
        </w:rPr>
        <w:t>(2)</w:t>
      </w:r>
      <w:r>
        <w:rPr>
          <w:rFonts w:ascii="Bookman Old Style" w:hAnsi="Bookman Old Style"/>
          <w:snapToGrid/>
          <w:szCs w:val="24"/>
        </w:rPr>
        <w:tab/>
      </w:r>
      <w:r w:rsidRPr="00B65DD5">
        <w:rPr>
          <w:rFonts w:ascii="Bookman Old Style" w:hAnsi="Bookman Old Style"/>
          <w:snapToGrid/>
          <w:szCs w:val="24"/>
        </w:rPr>
        <w:t>"school" includes primary schools, secondary schools, and</w:t>
      </w:r>
      <w:r>
        <w:rPr>
          <w:rFonts w:ascii="Bookman Old Style" w:hAnsi="Bookman Old Style"/>
          <w:snapToGrid/>
          <w:szCs w:val="24"/>
        </w:rPr>
        <w:t xml:space="preserve">   </w:t>
      </w:r>
      <w:r w:rsidRPr="00B65DD5">
        <w:rPr>
          <w:rFonts w:ascii="Bookman Old Style" w:hAnsi="Bookman Old Style"/>
          <w:snapToGrid/>
          <w:szCs w:val="24"/>
        </w:rPr>
        <w:t>institutions of higher education….</w:t>
      </w:r>
    </w:p>
    <w:p w:rsidR="006A5474" w:rsidRPr="00B65DD5" w:rsidRDefault="006A5474" w:rsidP="006A5474">
      <w:pPr>
        <w:widowControl/>
        <w:tabs>
          <w:tab w:val="left" w:pos="-1440"/>
          <w:tab w:val="left" w:pos="-720"/>
          <w:tab w:val="left" w:pos="720"/>
        </w:tabs>
        <w:suppressAutoHyphens/>
        <w:ind w:left="2250" w:hanging="630"/>
        <w:rPr>
          <w:rFonts w:ascii="Bookman Old Style" w:hAnsi="Bookman Old Style"/>
          <w:snapToGrid/>
          <w:szCs w:val="24"/>
        </w:rPr>
      </w:pPr>
    </w:p>
    <w:p w:rsidR="006A5474" w:rsidRPr="00B65DD5" w:rsidRDefault="006A5474" w:rsidP="006A5474">
      <w:pPr>
        <w:widowControl/>
        <w:tabs>
          <w:tab w:val="left" w:pos="-1440"/>
          <w:tab w:val="left" w:pos="-720"/>
          <w:tab w:val="left" w:pos="0"/>
          <w:tab w:val="left" w:pos="720"/>
        </w:tabs>
        <w:suppressAutoHyphens/>
        <w:spacing w:after="200"/>
        <w:ind w:left="1440" w:hanging="1440"/>
        <w:rPr>
          <w:rFonts w:ascii="Bookman Old Style" w:hAnsi="Bookman Old Style"/>
          <w:b/>
          <w:snapToGrid/>
          <w:szCs w:val="24"/>
        </w:rPr>
      </w:pPr>
      <w:r w:rsidRPr="00B65DD5">
        <w:rPr>
          <w:rFonts w:ascii="Bookman Old Style" w:hAnsi="Bookman Old Style"/>
          <w:b/>
          <w:snapToGrid/>
          <w:szCs w:val="24"/>
        </w:rPr>
        <w:t>8 AAC 85.350 provides:</w:t>
      </w:r>
    </w:p>
    <w:p w:rsidR="006A5474" w:rsidRPr="00B65DD5" w:rsidRDefault="006A5474" w:rsidP="006A5474">
      <w:pPr>
        <w:widowControl/>
        <w:tabs>
          <w:tab w:val="left" w:pos="-1440"/>
          <w:tab w:val="left" w:pos="-720"/>
          <w:tab w:val="left" w:pos="0"/>
          <w:tab w:val="left" w:pos="720"/>
        </w:tabs>
        <w:suppressAutoHyphens/>
        <w:spacing w:after="200"/>
        <w:ind w:left="1440" w:hanging="1440"/>
        <w:rPr>
          <w:rFonts w:ascii="Bookman Old Style" w:hAnsi="Bookman Old Style"/>
          <w:snapToGrid/>
          <w:szCs w:val="24"/>
        </w:rPr>
      </w:pPr>
      <w:r w:rsidRPr="00B65DD5">
        <w:rPr>
          <w:rFonts w:ascii="Bookman Old Style" w:hAnsi="Bookman Old Style"/>
          <w:snapToGrid/>
          <w:szCs w:val="24"/>
        </w:rPr>
        <w:tab/>
        <w:t>(a)</w:t>
      </w:r>
      <w:r w:rsidRPr="00B65DD5">
        <w:rPr>
          <w:rFonts w:ascii="Bookman Old Style" w:hAnsi="Bookman Old Style"/>
          <w:snapToGrid/>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p>
    <w:p w:rsidR="006A5474" w:rsidRPr="00B65DD5" w:rsidRDefault="006A5474" w:rsidP="006A5474">
      <w:pPr>
        <w:widowControl/>
        <w:tabs>
          <w:tab w:val="left" w:pos="-1440"/>
          <w:tab w:val="left" w:pos="-720"/>
          <w:tab w:val="left" w:pos="0"/>
          <w:tab w:val="left" w:pos="720"/>
        </w:tabs>
        <w:suppressAutoHyphens/>
        <w:spacing w:after="200"/>
        <w:ind w:left="1440" w:hanging="1440"/>
        <w:rPr>
          <w:rFonts w:ascii="Bookman Old Style" w:hAnsi="Bookman Old Style"/>
          <w:snapToGrid/>
          <w:szCs w:val="24"/>
        </w:rPr>
      </w:pPr>
      <w:r w:rsidRPr="00B65DD5">
        <w:rPr>
          <w:rFonts w:ascii="Bookman Old Style" w:hAnsi="Bookman Old Style"/>
          <w:snapToGrid/>
          <w:szCs w:val="24"/>
        </w:rPr>
        <w:tab/>
        <w:t>(b)</w:t>
      </w:r>
      <w:r w:rsidRPr="00B65DD5">
        <w:rPr>
          <w:rFonts w:ascii="Bookman Old Style" w:hAnsi="Bookman Old Style"/>
          <w:snapToGrid/>
          <w:szCs w:val="24"/>
        </w:rPr>
        <w:tab/>
        <w:t>A claimant is considered available for suitable work for a week if the claimant</w:t>
      </w:r>
    </w:p>
    <w:p w:rsidR="006A5474" w:rsidRPr="00B65DD5" w:rsidRDefault="006A5474" w:rsidP="006A5474">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B65DD5">
        <w:rPr>
          <w:rFonts w:ascii="Bookman Old Style" w:hAnsi="Bookman Old Style"/>
          <w:snapToGrid/>
          <w:szCs w:val="24"/>
        </w:rPr>
        <w:tab/>
      </w:r>
      <w:r w:rsidRPr="00B65DD5">
        <w:rPr>
          <w:rFonts w:ascii="Bookman Old Style" w:hAnsi="Bookman Old Style"/>
          <w:snapToGrid/>
          <w:szCs w:val="24"/>
        </w:rPr>
        <w:tab/>
        <w:t>(1)</w:t>
      </w:r>
      <w:r w:rsidRPr="00B65DD5">
        <w:rPr>
          <w:rFonts w:ascii="Bookman Old Style" w:hAnsi="Bookman Old Style"/>
          <w:snapToGrid/>
          <w:szCs w:val="24"/>
        </w:rPr>
        <w:tab/>
        <w:t>registers for work as required under 8 AAC 85.351;</w:t>
      </w:r>
    </w:p>
    <w:p w:rsidR="006A5474" w:rsidRPr="00B65DD5" w:rsidRDefault="006A5474" w:rsidP="006A5474">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B65DD5">
        <w:rPr>
          <w:rFonts w:ascii="Bookman Old Style" w:hAnsi="Bookman Old Style"/>
          <w:snapToGrid/>
          <w:szCs w:val="24"/>
        </w:rPr>
        <w:tab/>
      </w:r>
      <w:r w:rsidRPr="00B65DD5">
        <w:rPr>
          <w:rFonts w:ascii="Bookman Old Style" w:hAnsi="Bookman Old Style"/>
          <w:snapToGrid/>
          <w:szCs w:val="24"/>
        </w:rPr>
        <w:tab/>
        <w:t>(2)</w:t>
      </w:r>
      <w:r w:rsidRPr="00B65DD5">
        <w:rPr>
          <w:rFonts w:ascii="Bookman Old Style" w:hAnsi="Bookman Old Style"/>
          <w:snapToGrid/>
          <w:szCs w:val="24"/>
        </w:rPr>
        <w:tab/>
        <w:t>makes independent efforts to find work as directed under 8 AAC 85.352 and 8 AAC 85.355;</w:t>
      </w:r>
    </w:p>
    <w:p w:rsidR="006A5474" w:rsidRPr="00B65DD5" w:rsidRDefault="006A5474" w:rsidP="006A5474">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B65DD5">
        <w:rPr>
          <w:rFonts w:ascii="Bookman Old Style" w:hAnsi="Bookman Old Style"/>
          <w:snapToGrid/>
          <w:szCs w:val="24"/>
        </w:rPr>
        <w:tab/>
      </w:r>
      <w:r w:rsidRPr="00B65DD5">
        <w:rPr>
          <w:rFonts w:ascii="Bookman Old Style" w:hAnsi="Bookman Old Style"/>
          <w:snapToGrid/>
          <w:szCs w:val="24"/>
        </w:rPr>
        <w:tab/>
        <w:t>(3)</w:t>
      </w:r>
      <w:r w:rsidRPr="00B65DD5">
        <w:rPr>
          <w:rFonts w:ascii="Bookman Old Style" w:hAnsi="Bookman Old Style"/>
          <w:snapToGrid/>
          <w:szCs w:val="24"/>
        </w:rPr>
        <w:tab/>
        <w:t>meets the requirements of 8 AAC 85.353 during periods of travel;</w:t>
      </w:r>
    </w:p>
    <w:p w:rsidR="006A5474" w:rsidRPr="00B65DD5" w:rsidRDefault="006A5474" w:rsidP="006A5474">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B65DD5">
        <w:rPr>
          <w:rFonts w:ascii="Bookman Old Style" w:hAnsi="Bookman Old Style"/>
          <w:snapToGrid/>
          <w:szCs w:val="24"/>
        </w:rPr>
        <w:tab/>
      </w:r>
      <w:r w:rsidRPr="00B65DD5">
        <w:rPr>
          <w:rFonts w:ascii="Bookman Old Style" w:hAnsi="Bookman Old Style"/>
          <w:snapToGrid/>
          <w:szCs w:val="24"/>
        </w:rPr>
        <w:tab/>
        <w:t>(4)</w:t>
      </w:r>
      <w:r w:rsidRPr="00B65DD5">
        <w:rPr>
          <w:rFonts w:ascii="Bookman Old Style" w:hAnsi="Bookman Old Style"/>
          <w:snapToGrid/>
          <w:szCs w:val="24"/>
        </w:rPr>
        <w:tab/>
        <w:t>meets the requirements of 8 AAC 85.356 while in training;</w:t>
      </w:r>
    </w:p>
    <w:p w:rsidR="006A5474" w:rsidRPr="00B65DD5" w:rsidRDefault="006A5474" w:rsidP="006A5474">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B65DD5">
        <w:rPr>
          <w:rFonts w:ascii="Bookman Old Style" w:hAnsi="Bookman Old Style"/>
          <w:snapToGrid/>
          <w:szCs w:val="24"/>
        </w:rPr>
        <w:tab/>
      </w:r>
      <w:r w:rsidRPr="00B65DD5">
        <w:rPr>
          <w:rFonts w:ascii="Bookman Old Style" w:hAnsi="Bookman Old Style"/>
          <w:snapToGrid/>
          <w:szCs w:val="24"/>
        </w:rPr>
        <w:tab/>
        <w:t>(5)</w:t>
      </w:r>
      <w:r w:rsidRPr="00B65DD5">
        <w:rPr>
          <w:rFonts w:ascii="Bookman Old Style" w:hAnsi="Bookman Old Style"/>
          <w:snapToGrid/>
          <w:szCs w:val="24"/>
        </w:rPr>
        <w:tab/>
        <w:t>is willing to accept and perform suitable work which the claimant does not have good cause to refuse;</w:t>
      </w:r>
    </w:p>
    <w:p w:rsidR="006A5474" w:rsidRPr="00B65DD5" w:rsidRDefault="006A5474" w:rsidP="006A5474">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B65DD5">
        <w:rPr>
          <w:rFonts w:ascii="Bookman Old Style" w:hAnsi="Bookman Old Style"/>
          <w:snapToGrid/>
          <w:szCs w:val="24"/>
        </w:rPr>
        <w:tab/>
      </w:r>
      <w:r w:rsidRPr="00B65DD5">
        <w:rPr>
          <w:rFonts w:ascii="Bookman Old Style" w:hAnsi="Bookman Old Style"/>
          <w:snapToGrid/>
          <w:szCs w:val="24"/>
        </w:rPr>
        <w:tab/>
        <w:t xml:space="preserve">(6) </w:t>
      </w:r>
      <w:r w:rsidRPr="00B65DD5">
        <w:rPr>
          <w:rFonts w:ascii="Bookman Old Style" w:hAnsi="Bookman Old Style"/>
          <w:snapToGrid/>
          <w:szCs w:val="24"/>
        </w:rPr>
        <w:tab/>
        <w:t>is available, for at least five working days in the week, to respond promptly to an offer of suitable work; and</w:t>
      </w:r>
    </w:p>
    <w:p w:rsidR="006A5474" w:rsidRDefault="006A5474" w:rsidP="006A5474">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B65DD5">
        <w:rPr>
          <w:rFonts w:ascii="Bookman Old Style" w:hAnsi="Bookman Old Style"/>
          <w:snapToGrid/>
          <w:szCs w:val="24"/>
        </w:rPr>
        <w:tab/>
      </w:r>
      <w:r w:rsidRPr="00B65DD5">
        <w:rPr>
          <w:rFonts w:ascii="Bookman Old Style" w:hAnsi="Bookman Old Style"/>
          <w:snapToGrid/>
          <w:szCs w:val="24"/>
        </w:rPr>
        <w:tab/>
        <w:t>(7)</w:t>
      </w:r>
      <w:r w:rsidRPr="00B65DD5">
        <w:rPr>
          <w:rFonts w:ascii="Bookman Old Style" w:hAnsi="Bookman Old Style"/>
          <w:snapToGrid/>
          <w:szCs w:val="24"/>
        </w:rPr>
        <w:tab/>
        <w:t>is available for a substantial amount of full</w:t>
      </w:r>
      <w:r w:rsidRPr="00B65DD5">
        <w:rPr>
          <w:rFonts w:ascii="Bookman Old Style" w:hAnsi="Bookman Old Style"/>
          <w:snapToGrid/>
          <w:szCs w:val="24"/>
        </w:rPr>
        <w:noBreakHyphen/>
        <w:t xml:space="preserve">time employment. </w:t>
      </w:r>
    </w:p>
    <w:p w:rsidR="006A5474" w:rsidRPr="00B65DD5" w:rsidRDefault="006A5474" w:rsidP="006A5474">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p>
    <w:p w:rsidR="006A5474" w:rsidRDefault="006A5474" w:rsidP="006A5474">
      <w:pPr>
        <w:widowControl/>
        <w:tabs>
          <w:tab w:val="left" w:pos="360"/>
          <w:tab w:val="left" w:pos="1080"/>
          <w:tab w:val="left" w:pos="1440"/>
        </w:tabs>
        <w:suppressAutoHyphens/>
        <w:spacing w:after="200"/>
        <w:rPr>
          <w:rFonts w:ascii="Bookman Old Style" w:hAnsi="Bookman Old Style"/>
          <w:b/>
          <w:snapToGrid/>
          <w:szCs w:val="24"/>
        </w:rPr>
      </w:pPr>
      <w:r w:rsidRPr="00B65DD5">
        <w:rPr>
          <w:rFonts w:ascii="Bookman Old Style" w:hAnsi="Bookman Old Style"/>
          <w:b/>
          <w:snapToGrid/>
          <w:szCs w:val="24"/>
        </w:rPr>
        <w:t>8 AAC 85.356</w:t>
      </w:r>
      <w:r>
        <w:rPr>
          <w:rFonts w:ascii="Bookman Old Style" w:hAnsi="Bookman Old Style"/>
          <w:b/>
          <w:snapToGrid/>
          <w:szCs w:val="24"/>
        </w:rPr>
        <w:t xml:space="preserve"> provides:</w:t>
      </w:r>
    </w:p>
    <w:p w:rsidR="006A5474" w:rsidRPr="008A1060" w:rsidRDefault="006A5474" w:rsidP="006A5474">
      <w:pPr>
        <w:widowControl/>
        <w:tabs>
          <w:tab w:val="left" w:pos="360"/>
          <w:tab w:val="left" w:pos="1080"/>
          <w:tab w:val="left" w:pos="1440"/>
        </w:tabs>
        <w:suppressAutoHyphens/>
        <w:spacing w:after="200"/>
        <w:rPr>
          <w:rFonts w:ascii="Bookman Old Style" w:hAnsi="Bookman Old Style"/>
          <w:snapToGrid/>
          <w:szCs w:val="24"/>
        </w:rPr>
      </w:pPr>
      <w:r w:rsidRPr="008A1060">
        <w:rPr>
          <w:rFonts w:ascii="Bookman Old Style" w:hAnsi="Bookman Old Style"/>
          <w:snapToGrid/>
          <w:szCs w:val="24"/>
        </w:rPr>
        <w:t xml:space="preserve"> </w:t>
      </w:r>
      <w:r w:rsidRPr="008A1060">
        <w:rPr>
          <w:rFonts w:ascii="Bookman Old Style" w:hAnsi="Bookman Old Style"/>
        </w:rPr>
        <w:t>A claimant who is attending training is available for work if</w:t>
      </w:r>
    </w:p>
    <w:p w:rsidR="006A5474" w:rsidRPr="003A6A3A" w:rsidRDefault="006A5474" w:rsidP="006A5474">
      <w:pPr>
        <w:pStyle w:val="NoSpacing"/>
        <w:spacing w:after="240"/>
        <w:ind w:left="360"/>
        <w:rPr>
          <w:rFonts w:ascii="Bookman Old Style" w:eastAsia="Times New Roman" w:hAnsi="Bookman Old Style"/>
          <w:sz w:val="24"/>
          <w:szCs w:val="24"/>
        </w:rPr>
      </w:pPr>
      <w:r w:rsidRPr="003A6A3A">
        <w:rPr>
          <w:rFonts w:ascii="Bookman Old Style" w:eastAsia="Times New Roman" w:hAnsi="Bookman Old Style"/>
          <w:sz w:val="24"/>
          <w:szCs w:val="24"/>
        </w:rPr>
        <w:t xml:space="preserve">(1) the claimant is not disqualified under </w:t>
      </w:r>
      <w:r>
        <w:rPr>
          <w:rFonts w:ascii="Bookman Old Style" w:eastAsia="Times New Roman" w:hAnsi="Bookman Old Style"/>
          <w:sz w:val="24"/>
          <w:szCs w:val="24"/>
        </w:rPr>
        <w:t>AS 23.20.378</w:t>
      </w:r>
      <w:r w:rsidRPr="003A6A3A">
        <w:rPr>
          <w:rFonts w:ascii="Bookman Old Style" w:eastAsia="Times New Roman" w:hAnsi="Bookman Old Style"/>
          <w:sz w:val="24"/>
          <w:szCs w:val="24"/>
        </w:rPr>
        <w:t xml:space="preserve"> (c); </w:t>
      </w:r>
    </w:p>
    <w:p w:rsidR="006A5474" w:rsidRPr="003A6A3A" w:rsidRDefault="006A5474" w:rsidP="006A5474">
      <w:pPr>
        <w:pStyle w:val="NoSpacing"/>
        <w:spacing w:after="240"/>
        <w:ind w:left="360"/>
        <w:rPr>
          <w:rFonts w:ascii="Bookman Old Style" w:eastAsia="Times New Roman" w:hAnsi="Bookman Old Style"/>
          <w:sz w:val="24"/>
          <w:szCs w:val="24"/>
        </w:rPr>
      </w:pPr>
      <w:r w:rsidRPr="003A6A3A">
        <w:rPr>
          <w:rFonts w:ascii="Bookman Old Style" w:eastAsia="Times New Roman" w:hAnsi="Bookman Old Style"/>
          <w:sz w:val="24"/>
          <w:szCs w:val="24"/>
        </w:rPr>
        <w:t xml:space="preserve">(2) the claimant is attached to the labor force and is ready and willing to immediately accept suitable full-time work for which the claimant is presently qualified; and </w:t>
      </w:r>
    </w:p>
    <w:p w:rsidR="006A5474" w:rsidRPr="003A6A3A" w:rsidRDefault="006A5474" w:rsidP="006A5474">
      <w:pPr>
        <w:pStyle w:val="NoSpacing"/>
        <w:spacing w:after="240"/>
        <w:ind w:left="360"/>
        <w:rPr>
          <w:rFonts w:ascii="Bookman Old Style" w:eastAsia="Times New Roman" w:hAnsi="Bookman Old Style"/>
          <w:sz w:val="24"/>
          <w:szCs w:val="24"/>
        </w:rPr>
      </w:pPr>
      <w:r w:rsidRPr="003A6A3A">
        <w:rPr>
          <w:rFonts w:ascii="Bookman Old Style" w:eastAsia="Times New Roman" w:hAnsi="Bookman Old Style"/>
          <w:sz w:val="24"/>
          <w:szCs w:val="24"/>
        </w:rPr>
        <w:t xml:space="preserve">(3) the claimant </w:t>
      </w:r>
    </w:p>
    <w:p w:rsidR="006A5474" w:rsidRDefault="006A5474" w:rsidP="006A5474">
      <w:pPr>
        <w:pStyle w:val="NoSpacing"/>
        <w:tabs>
          <w:tab w:val="left" w:pos="1080"/>
        </w:tabs>
        <w:spacing w:after="240"/>
        <w:ind w:left="1080" w:hanging="540"/>
        <w:rPr>
          <w:rFonts w:ascii="Bookman Old Style" w:eastAsia="Times New Roman" w:hAnsi="Bookman Old Style"/>
          <w:sz w:val="24"/>
          <w:szCs w:val="24"/>
        </w:rPr>
      </w:pPr>
      <w:r>
        <w:rPr>
          <w:rFonts w:ascii="Bookman Old Style" w:eastAsia="Times New Roman" w:hAnsi="Bookman Old Style"/>
          <w:sz w:val="24"/>
          <w:szCs w:val="24"/>
        </w:rPr>
        <w:t>(A)</w:t>
      </w:r>
      <w:r>
        <w:rPr>
          <w:rFonts w:ascii="Bookman Old Style" w:eastAsia="Times New Roman" w:hAnsi="Bookman Old Style"/>
          <w:sz w:val="24"/>
          <w:szCs w:val="24"/>
        </w:rPr>
        <w:tab/>
      </w:r>
      <w:r w:rsidRPr="003A6A3A">
        <w:rPr>
          <w:rFonts w:ascii="Bookman Old Style" w:eastAsia="Times New Roman" w:hAnsi="Bookman Old Style"/>
          <w:sz w:val="24"/>
          <w:szCs w:val="24"/>
        </w:rPr>
        <w:t xml:space="preserve">while working full-time and attending training, became unemployed for reasons not attributable to the training, and the hours of training have not changed substantially;    </w:t>
      </w:r>
    </w:p>
    <w:p w:rsidR="006A5474" w:rsidRDefault="006A5474" w:rsidP="006A5474">
      <w:pPr>
        <w:pStyle w:val="NoSpacing"/>
        <w:tabs>
          <w:tab w:val="left" w:pos="1080"/>
        </w:tabs>
        <w:spacing w:after="240"/>
        <w:ind w:left="1080" w:hanging="540"/>
        <w:rPr>
          <w:rFonts w:ascii="Bookman Old Style" w:eastAsia="Times New Roman" w:hAnsi="Bookman Old Style"/>
          <w:sz w:val="24"/>
          <w:szCs w:val="24"/>
        </w:rPr>
      </w:pPr>
      <w:r>
        <w:rPr>
          <w:rFonts w:ascii="Bookman Old Style" w:eastAsia="Times New Roman" w:hAnsi="Bookman Old Style"/>
          <w:sz w:val="24"/>
          <w:szCs w:val="24"/>
        </w:rPr>
        <w:t>(B)</w:t>
      </w:r>
      <w:r>
        <w:rPr>
          <w:rFonts w:ascii="Bookman Old Style" w:eastAsia="Times New Roman" w:hAnsi="Bookman Old Style"/>
          <w:sz w:val="24"/>
          <w:szCs w:val="24"/>
        </w:rPr>
        <w:tab/>
      </w:r>
      <w:r w:rsidRPr="003A6A3A">
        <w:rPr>
          <w:rFonts w:ascii="Bookman Old Style" w:eastAsia="Times New Roman" w:hAnsi="Bookman Old Style"/>
          <w:sz w:val="24"/>
          <w:szCs w:val="24"/>
        </w:rPr>
        <w:t xml:space="preserve">began attending training after becoming unemployed and no rearrangement of the training schedule would be necessary to accommodate at least one regular work shift in an occupation suitable for the claimant; or </w:t>
      </w:r>
    </w:p>
    <w:p w:rsidR="006A5474" w:rsidRPr="009D2FE8" w:rsidRDefault="006A5474" w:rsidP="009D2FE8">
      <w:pPr>
        <w:pStyle w:val="NoSpacing"/>
        <w:tabs>
          <w:tab w:val="left" w:pos="1080"/>
        </w:tabs>
        <w:spacing w:after="240"/>
        <w:ind w:left="1080" w:hanging="540"/>
        <w:rPr>
          <w:rFonts w:ascii="Bookman Old Style" w:eastAsia="Times New Roman" w:hAnsi="Bookman Old Style"/>
          <w:sz w:val="24"/>
          <w:szCs w:val="24"/>
        </w:rPr>
      </w:pPr>
      <w:r>
        <w:rPr>
          <w:rFonts w:ascii="Bookman Old Style" w:eastAsia="Times New Roman" w:hAnsi="Bookman Old Style"/>
          <w:sz w:val="24"/>
          <w:szCs w:val="24"/>
        </w:rPr>
        <w:lastRenderedPageBreak/>
        <w:t>(C)</w:t>
      </w:r>
      <w:r>
        <w:rPr>
          <w:rFonts w:ascii="Bookman Old Style" w:eastAsia="Times New Roman" w:hAnsi="Bookman Old Style"/>
          <w:sz w:val="24"/>
          <w:szCs w:val="24"/>
        </w:rPr>
        <w:tab/>
      </w:r>
      <w:r w:rsidRPr="003A6A3A">
        <w:rPr>
          <w:rFonts w:ascii="Bookman Old Style" w:eastAsia="Times New Roman" w:hAnsi="Bookman Old Style"/>
          <w:sz w:val="24"/>
          <w:szCs w:val="24"/>
        </w:rPr>
        <w:t xml:space="preserve">is willing and able to change the training schedule or leave the training to accept suitable work. </w:t>
      </w:r>
    </w:p>
    <w:p w:rsidR="006A5474" w:rsidRPr="00B65DD5" w:rsidRDefault="006A5474" w:rsidP="006A5474">
      <w:pPr>
        <w:pStyle w:val="Heading1"/>
        <w:rPr>
          <w:rFonts w:ascii="Bookman Old Style" w:hAnsi="Bookman Old Style"/>
          <w:szCs w:val="24"/>
          <w:u w:val="none"/>
        </w:rPr>
      </w:pPr>
      <w:r w:rsidRPr="00B65DD5">
        <w:rPr>
          <w:rFonts w:ascii="Bookman Old Style" w:hAnsi="Bookman Old Style"/>
          <w:szCs w:val="24"/>
          <w:u w:val="none"/>
        </w:rPr>
        <w:t>CONCLUSION</w:t>
      </w:r>
    </w:p>
    <w:p w:rsidR="006A5474" w:rsidRPr="00B65DD5" w:rsidRDefault="006A5474" w:rsidP="006A5474">
      <w:pPr>
        <w:tabs>
          <w:tab w:val="left" w:pos="-1440"/>
          <w:tab w:val="left" w:pos="-720"/>
        </w:tabs>
        <w:suppressAutoHyphens/>
        <w:rPr>
          <w:rFonts w:ascii="Bookman Old Style" w:hAnsi="Bookman Old Style"/>
          <w:szCs w:val="24"/>
        </w:rPr>
      </w:pPr>
    </w:p>
    <w:p w:rsidR="00991AAD" w:rsidRDefault="00991AAD" w:rsidP="00991AAD">
      <w:pPr>
        <w:widowControl/>
        <w:autoSpaceDE w:val="0"/>
        <w:autoSpaceDN w:val="0"/>
        <w:adjustRightInd w:val="0"/>
        <w:rPr>
          <w:rFonts w:ascii="Bookman Old Style" w:hAnsi="Bookman Old Style" w:cs="Arial"/>
          <w:noProof/>
          <w:szCs w:val="24"/>
        </w:rPr>
      </w:pPr>
      <w:r>
        <w:rPr>
          <w:rFonts w:ascii="Bookman Old Style" w:hAnsi="Bookman Old Style" w:cs="Arial"/>
          <w:noProof/>
          <w:szCs w:val="24"/>
        </w:rPr>
        <w:t xml:space="preserve">Alaska Statute 23.20.378(c) holds that claimants who are pursuing an academic education taking 10 or more credits are disqualified from receiving benefits.  </w:t>
      </w:r>
    </w:p>
    <w:p w:rsidR="00991AAD" w:rsidRDefault="00991AAD" w:rsidP="00991AAD">
      <w:pPr>
        <w:widowControl/>
        <w:autoSpaceDE w:val="0"/>
        <w:autoSpaceDN w:val="0"/>
        <w:adjustRightInd w:val="0"/>
        <w:rPr>
          <w:rFonts w:ascii="Bookman Old Style" w:hAnsi="Bookman Old Style" w:cs="Arial"/>
          <w:noProof/>
          <w:szCs w:val="24"/>
        </w:rPr>
      </w:pPr>
    </w:p>
    <w:p w:rsidR="00991AAD" w:rsidRDefault="00991AAD" w:rsidP="00991AAD">
      <w:pPr>
        <w:widowControl/>
        <w:autoSpaceDE w:val="0"/>
        <w:autoSpaceDN w:val="0"/>
        <w:adjustRightInd w:val="0"/>
        <w:rPr>
          <w:rFonts w:ascii="Bookman Old Style" w:hAnsi="Bookman Old Style"/>
          <w:spacing w:val="-3"/>
        </w:rPr>
      </w:pPr>
      <w:r>
        <w:rPr>
          <w:rFonts w:ascii="Bookman Old Style" w:hAnsi="Bookman Old Style" w:cs="Arial"/>
          <w:noProof/>
          <w:szCs w:val="24"/>
        </w:rPr>
        <w:t xml:space="preserve">In </w:t>
      </w:r>
      <w:r>
        <w:rPr>
          <w:rFonts w:ascii="Bookman Old Style" w:hAnsi="Bookman Old Style" w:cs="Arial"/>
          <w:noProof/>
          <w:szCs w:val="24"/>
          <w:u w:val="single"/>
        </w:rPr>
        <w:t>Stayton</w:t>
      </w:r>
      <w:r>
        <w:rPr>
          <w:rFonts w:ascii="Bookman Old Style" w:hAnsi="Bookman Old Style" w:cs="Arial"/>
          <w:noProof/>
          <w:szCs w:val="24"/>
        </w:rPr>
        <w:t xml:space="preserve">, Commissioner Decision </w:t>
      </w:r>
      <w:r>
        <w:rPr>
          <w:rFonts w:ascii="Bookman Old Style" w:hAnsi="Bookman Old Style"/>
          <w:spacing w:val="-3"/>
        </w:rPr>
        <w:t>00 2037, December 26, 2000, the Commissioner reiterated agency policy regarding distance learning stating, in part:</w:t>
      </w:r>
    </w:p>
    <w:p w:rsidR="00991AAD" w:rsidRDefault="00991AAD" w:rsidP="00991AAD">
      <w:pPr>
        <w:widowControl/>
        <w:autoSpaceDE w:val="0"/>
        <w:autoSpaceDN w:val="0"/>
        <w:adjustRightInd w:val="0"/>
        <w:rPr>
          <w:rFonts w:ascii="Bookman Old Style" w:hAnsi="Bookman Old Style"/>
          <w:spacing w:val="-3"/>
        </w:rPr>
      </w:pPr>
    </w:p>
    <w:p w:rsidR="00991AAD" w:rsidRPr="00355B81" w:rsidRDefault="00991AAD" w:rsidP="00991AAD">
      <w:pPr>
        <w:widowControl/>
        <w:autoSpaceDE w:val="0"/>
        <w:autoSpaceDN w:val="0"/>
        <w:adjustRightInd w:val="0"/>
        <w:ind w:left="720" w:right="540"/>
        <w:rPr>
          <w:rFonts w:ascii="Bookman Old Style" w:hAnsi="Bookman Old Style" w:cs="Arial"/>
          <w:i/>
          <w:noProof/>
          <w:szCs w:val="24"/>
        </w:rPr>
      </w:pPr>
      <w:r w:rsidRPr="00355B81">
        <w:rPr>
          <w:rFonts w:ascii="Bookman Old Style" w:hAnsi="Bookman Old Style"/>
          <w:i/>
        </w:rPr>
        <w:t>We have previously held that participation in distance learning or correspondence courses does not serve to disqualify a claimant under AS 23.20.378(c)…</w:t>
      </w:r>
    </w:p>
    <w:p w:rsidR="00991AAD" w:rsidRDefault="00991AAD" w:rsidP="00991AAD">
      <w:pPr>
        <w:widowControl/>
        <w:autoSpaceDE w:val="0"/>
        <w:autoSpaceDN w:val="0"/>
        <w:adjustRightInd w:val="0"/>
        <w:rPr>
          <w:rFonts w:ascii="Bookman Old Style" w:hAnsi="Bookman Old Style" w:cs="Arial"/>
          <w:noProof/>
          <w:szCs w:val="24"/>
        </w:rPr>
      </w:pPr>
      <w:r>
        <w:rPr>
          <w:rFonts w:ascii="Bookman Old Style" w:hAnsi="Bookman Old Style" w:cs="Arial"/>
          <w:noProof/>
          <w:szCs w:val="24"/>
        </w:rPr>
        <w:t xml:space="preserve">  </w:t>
      </w:r>
    </w:p>
    <w:p w:rsidR="00991AAD" w:rsidRDefault="00991AAD" w:rsidP="00991AAD">
      <w:pPr>
        <w:tabs>
          <w:tab w:val="left" w:pos="-1440"/>
          <w:tab w:val="left" w:pos="-720"/>
        </w:tabs>
        <w:suppressAutoHyphens/>
        <w:rPr>
          <w:rFonts w:ascii="Bookman Old Style" w:hAnsi="Bookman Old Style"/>
          <w:szCs w:val="24"/>
        </w:rPr>
      </w:pPr>
      <w:r>
        <w:rPr>
          <w:rFonts w:ascii="Bookman Old Style" w:hAnsi="Bookman Old Style"/>
          <w:szCs w:val="24"/>
        </w:rPr>
        <w:t xml:space="preserve">At the point the claimant established his claim for benefits, all of his training was delivered online and he had no constraints on his time. His work did not end for any reason related to his training. </w:t>
      </w:r>
    </w:p>
    <w:p w:rsidR="00991AAD" w:rsidRDefault="00991AAD" w:rsidP="00991AAD">
      <w:pPr>
        <w:tabs>
          <w:tab w:val="left" w:pos="-1440"/>
          <w:tab w:val="left" w:pos="-720"/>
        </w:tabs>
        <w:suppressAutoHyphens/>
        <w:rPr>
          <w:rFonts w:ascii="Bookman Old Style" w:hAnsi="Bookman Old Style"/>
          <w:szCs w:val="24"/>
        </w:rPr>
      </w:pPr>
    </w:p>
    <w:p w:rsidR="00991AAD" w:rsidRPr="00B65DD5" w:rsidRDefault="00991AAD" w:rsidP="00991AAD">
      <w:pPr>
        <w:tabs>
          <w:tab w:val="left" w:pos="-1440"/>
          <w:tab w:val="left" w:pos="-720"/>
        </w:tabs>
        <w:suppressAutoHyphens/>
        <w:rPr>
          <w:rFonts w:ascii="Bookman Old Style" w:hAnsi="Bookman Old Style"/>
          <w:szCs w:val="24"/>
        </w:rPr>
      </w:pPr>
      <w:r>
        <w:rPr>
          <w:rFonts w:ascii="Bookman Old Style" w:hAnsi="Bookman Old Style"/>
          <w:szCs w:val="24"/>
        </w:rPr>
        <w:t xml:space="preserve">The Tribunal finds the claimant was available for work while pursuing his training online.  </w:t>
      </w:r>
    </w:p>
    <w:p w:rsidR="006A5474" w:rsidRPr="00B65DD5" w:rsidRDefault="006A5474" w:rsidP="006A5474">
      <w:pPr>
        <w:tabs>
          <w:tab w:val="left" w:pos="-1440"/>
          <w:tab w:val="left" w:pos="-720"/>
        </w:tabs>
        <w:suppressAutoHyphens/>
        <w:rPr>
          <w:rFonts w:ascii="Bookman Old Style" w:hAnsi="Bookman Old Style"/>
          <w:szCs w:val="24"/>
        </w:rPr>
      </w:pPr>
    </w:p>
    <w:p w:rsidR="006A5474" w:rsidRPr="00B65DD5" w:rsidRDefault="006A5474" w:rsidP="006A5474">
      <w:pPr>
        <w:tabs>
          <w:tab w:val="center" w:pos="4680"/>
        </w:tabs>
        <w:suppressAutoHyphens/>
        <w:rPr>
          <w:rFonts w:ascii="Bookman Old Style" w:hAnsi="Bookman Old Style"/>
          <w:szCs w:val="24"/>
        </w:rPr>
      </w:pPr>
      <w:r w:rsidRPr="00B65DD5">
        <w:rPr>
          <w:rFonts w:ascii="Bookman Old Style" w:hAnsi="Bookman Old Style"/>
          <w:b/>
          <w:szCs w:val="24"/>
        </w:rPr>
        <w:tab/>
        <w:t>DECISION</w:t>
      </w:r>
    </w:p>
    <w:p w:rsidR="006A5474" w:rsidRPr="00B65DD5" w:rsidRDefault="006A5474" w:rsidP="006A5474">
      <w:pPr>
        <w:tabs>
          <w:tab w:val="left" w:pos="-1440"/>
          <w:tab w:val="left" w:pos="-720"/>
        </w:tabs>
        <w:suppressAutoHyphens/>
        <w:rPr>
          <w:rFonts w:ascii="Bookman Old Style" w:hAnsi="Bookman Old Style"/>
          <w:szCs w:val="24"/>
        </w:rPr>
      </w:pPr>
    </w:p>
    <w:p w:rsidR="006A5474" w:rsidRPr="00E663B4" w:rsidRDefault="006A5474" w:rsidP="006A5474">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991AAD">
        <w:rPr>
          <w:rFonts w:ascii="Bookman Old Style" w:hAnsi="Bookman Old Style"/>
          <w:szCs w:val="24"/>
        </w:rPr>
        <w:t>April 16, 2020</w:t>
      </w:r>
      <w:r w:rsidRPr="00E663B4">
        <w:rPr>
          <w:rFonts w:ascii="Bookman Old Style" w:hAnsi="Bookman Old Style"/>
          <w:szCs w:val="24"/>
        </w:rPr>
        <w:t xml:space="preserve"> is </w:t>
      </w:r>
      <w:r w:rsidR="00991AAD">
        <w:rPr>
          <w:rFonts w:ascii="Bookman Old Style" w:hAnsi="Bookman Old Style"/>
          <w:b/>
          <w:szCs w:val="24"/>
        </w:rPr>
        <w:t>REVERSED</w:t>
      </w:r>
      <w:r w:rsidRPr="00E663B4">
        <w:rPr>
          <w:rFonts w:ascii="Bookman Old Style" w:hAnsi="Bookman Old Style"/>
          <w:szCs w:val="24"/>
        </w:rPr>
        <w:t xml:space="preserve">. Benefits are </w:t>
      </w:r>
      <w:r w:rsidR="00991AAD">
        <w:rPr>
          <w:rFonts w:ascii="Bookman Old Style" w:hAnsi="Bookman Old Style"/>
          <w:b/>
          <w:szCs w:val="24"/>
        </w:rPr>
        <w:t>ALLOWED</w:t>
      </w:r>
      <w:r w:rsidRPr="00E663B4">
        <w:rPr>
          <w:rFonts w:ascii="Bookman Old Style" w:hAnsi="Bookman Old Style"/>
          <w:szCs w:val="24"/>
        </w:rPr>
        <w:t xml:space="preserve"> for the weeks ending  </w:t>
      </w:r>
      <w:r w:rsidR="00991AAD">
        <w:rPr>
          <w:rFonts w:ascii="Bookman Old Style" w:hAnsi="Bookman Old Style"/>
          <w:szCs w:val="24"/>
        </w:rPr>
        <w:t>April 4, 2020 through May 9, 2020</w:t>
      </w:r>
      <w:r>
        <w:rPr>
          <w:rFonts w:ascii="Bookman Old Style" w:hAnsi="Bookman Old Style"/>
          <w:szCs w:val="24"/>
        </w:rPr>
        <w:t xml:space="preserve"> if the claimant is otherwise eligible</w:t>
      </w:r>
      <w:r w:rsidRPr="00E663B4">
        <w:rPr>
          <w:rFonts w:ascii="Bookman Old Style" w:hAnsi="Bookman Old Style"/>
          <w:szCs w:val="24"/>
        </w:rPr>
        <w:t>.</w:t>
      </w:r>
    </w:p>
    <w:p w:rsidR="006A5474" w:rsidRPr="006A5474" w:rsidRDefault="006A5474" w:rsidP="006A5474"/>
    <w:p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APPEAL RIGHTS</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CC5A4B">
        <w:rPr>
          <w:rFonts w:ascii="Bookman Old Style" w:hAnsi="Bookman Old Style"/>
          <w:szCs w:val="24"/>
        </w:rPr>
        <w:t>June 29, 2020</w:t>
      </w:r>
      <w:r w:rsidR="0046604B" w:rsidRPr="00304946">
        <w:rPr>
          <w:rFonts w:ascii="Bookman Old Style" w:hAnsi="Bookman Old Style"/>
          <w:szCs w:val="24"/>
        </w:rPr>
        <w:t>.</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CC5A4B">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474" w:rsidRDefault="006A5474">
      <w:pPr>
        <w:widowControl/>
        <w:spacing w:line="20" w:lineRule="exact"/>
      </w:pPr>
    </w:p>
  </w:endnote>
  <w:endnote w:type="continuationSeparator" w:id="0">
    <w:p w:rsidR="006A5474" w:rsidRDefault="006A5474">
      <w:r>
        <w:t xml:space="preserve"> </w:t>
      </w:r>
    </w:p>
  </w:endnote>
  <w:endnote w:type="continuationNotice" w:id="1">
    <w:p w:rsidR="006A5474" w:rsidRDefault="006A54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474" w:rsidRDefault="006A5474">
      <w:r>
        <w:separator/>
      </w:r>
    </w:p>
  </w:footnote>
  <w:footnote w:type="continuationSeparator" w:id="0">
    <w:p w:rsidR="006A5474" w:rsidRDefault="006A5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B6394E">
      <w:rPr>
        <w:rFonts w:ascii="Bookman Old Style" w:hAnsi="Bookman Old Style"/>
      </w:rPr>
      <w:t>20 0642</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E63D22">
      <w:rPr>
        <w:rStyle w:val="PageNumber"/>
        <w:rFonts w:ascii="Bookman Old Style" w:hAnsi="Bookman Old Style"/>
        <w:noProof/>
      </w:rPr>
      <w:t>3</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74"/>
    <w:rsid w:val="00001E6A"/>
    <w:rsid w:val="000274F7"/>
    <w:rsid w:val="00034258"/>
    <w:rsid w:val="00034E8A"/>
    <w:rsid w:val="00087A38"/>
    <w:rsid w:val="000B3C03"/>
    <w:rsid w:val="000C07A1"/>
    <w:rsid w:val="000E242A"/>
    <w:rsid w:val="000E7714"/>
    <w:rsid w:val="001249C2"/>
    <w:rsid w:val="00171C06"/>
    <w:rsid w:val="001F6B5B"/>
    <w:rsid w:val="00280EFF"/>
    <w:rsid w:val="002A1EF1"/>
    <w:rsid w:val="002D7F1A"/>
    <w:rsid w:val="00304946"/>
    <w:rsid w:val="00324065"/>
    <w:rsid w:val="00341E3C"/>
    <w:rsid w:val="00347206"/>
    <w:rsid w:val="00382259"/>
    <w:rsid w:val="0046604B"/>
    <w:rsid w:val="00476DC4"/>
    <w:rsid w:val="004D05FC"/>
    <w:rsid w:val="004E01C7"/>
    <w:rsid w:val="004F3BD6"/>
    <w:rsid w:val="004F7405"/>
    <w:rsid w:val="00591E67"/>
    <w:rsid w:val="00591FFA"/>
    <w:rsid w:val="005A674B"/>
    <w:rsid w:val="005E0966"/>
    <w:rsid w:val="005E53D0"/>
    <w:rsid w:val="00682FEC"/>
    <w:rsid w:val="006A5474"/>
    <w:rsid w:val="006C67EA"/>
    <w:rsid w:val="00703025"/>
    <w:rsid w:val="00713867"/>
    <w:rsid w:val="00746072"/>
    <w:rsid w:val="00780095"/>
    <w:rsid w:val="00782350"/>
    <w:rsid w:val="0078796F"/>
    <w:rsid w:val="008034CB"/>
    <w:rsid w:val="00812C65"/>
    <w:rsid w:val="00824A4C"/>
    <w:rsid w:val="00871694"/>
    <w:rsid w:val="00890A0D"/>
    <w:rsid w:val="00897129"/>
    <w:rsid w:val="008E3C9F"/>
    <w:rsid w:val="0090239B"/>
    <w:rsid w:val="009842BF"/>
    <w:rsid w:val="00991AAD"/>
    <w:rsid w:val="009D2FE8"/>
    <w:rsid w:val="009F1763"/>
    <w:rsid w:val="009F38F8"/>
    <w:rsid w:val="00A158AF"/>
    <w:rsid w:val="00A91EDD"/>
    <w:rsid w:val="00AD5027"/>
    <w:rsid w:val="00AE37DC"/>
    <w:rsid w:val="00AE39CC"/>
    <w:rsid w:val="00B6394E"/>
    <w:rsid w:val="00B6422F"/>
    <w:rsid w:val="00B72674"/>
    <w:rsid w:val="00BC45C9"/>
    <w:rsid w:val="00C56D4F"/>
    <w:rsid w:val="00CC5A4B"/>
    <w:rsid w:val="00DC68B2"/>
    <w:rsid w:val="00E01927"/>
    <w:rsid w:val="00E13AAA"/>
    <w:rsid w:val="00E2668C"/>
    <w:rsid w:val="00E63D22"/>
    <w:rsid w:val="00E95F25"/>
    <w:rsid w:val="00EA2CC6"/>
    <w:rsid w:val="00EB4EAF"/>
    <w:rsid w:val="00F06561"/>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65AE7F"/>
  <w15:chartTrackingRefBased/>
  <w15:docId w15:val="{613FE2A3-0610-4C0E-8720-B99EDAE0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 w:type="paragraph" w:styleId="NoSpacing">
    <w:name w:val="No Spacing"/>
    <w:uiPriority w:val="1"/>
    <w:qFormat/>
    <w:rsid w:val="006A547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004A2-5FE0-4193-BC3A-6E8633D0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Template>
  <TotalTime>0</TotalTime>
  <Pages>5</Pages>
  <Words>1733</Words>
  <Characters>8843</Characters>
  <Application>Microsoft Office Word</Application>
  <DocSecurity>0</DocSecurity>
  <Lines>226</Lines>
  <Paragraphs>79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2020-06-29T23:58:00Z</dcterms:created>
  <dcterms:modified xsi:type="dcterms:W3CDTF">2020-06-29T23:58:00Z</dcterms:modified>
</cp:coreProperties>
</file>