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AC192F">
        <w:rPr>
          <w:rFonts w:ascii="Bookman Old Style" w:hAnsi="Bookman Old Style"/>
          <w:szCs w:val="24"/>
        </w:rPr>
        <w:t>20 1069</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AC192F">
        <w:rPr>
          <w:rFonts w:ascii="Bookman Old Style" w:hAnsi="Bookman Old Style"/>
          <w:szCs w:val="24"/>
        </w:rPr>
        <w:t>August 28, 2020</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AC192F"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JAMES YOUNG</w:t>
      </w:r>
      <w:r w:rsidR="004F7405" w:rsidRPr="0046604B">
        <w:rPr>
          <w:rFonts w:ascii="Bookman Old Style" w:hAnsi="Bookman Old Style"/>
          <w:szCs w:val="24"/>
        </w:rPr>
        <w:tab/>
      </w:r>
      <w:r>
        <w:rPr>
          <w:rFonts w:ascii="Bookman Old Style" w:hAnsi="Bookman Old Style"/>
          <w:szCs w:val="24"/>
        </w:rPr>
        <w:t>YC FAIRBANKS HOTEL GRP LLC</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3E29E3" w:rsidRDefault="003E29E3" w:rsidP="0046604B">
      <w:pPr>
        <w:tabs>
          <w:tab w:val="left" w:pos="-1440"/>
          <w:tab w:val="left" w:pos="-720"/>
          <w:tab w:val="left" w:pos="0"/>
          <w:tab w:val="left" w:pos="5760"/>
        </w:tabs>
        <w:suppressAutoHyphens/>
        <w:ind w:right="-360"/>
        <w:rPr>
          <w:rFonts w:ascii="Bookman Old Style" w:hAnsi="Bookman Old Style"/>
          <w:szCs w:val="24"/>
        </w:rPr>
      </w:pPr>
    </w:p>
    <w:p w:rsidR="003E29E3" w:rsidRPr="0046604B" w:rsidRDefault="003E29E3"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AC192F"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James Young</w:t>
      </w:r>
      <w:r w:rsidR="00780095" w:rsidRPr="0046604B">
        <w:rPr>
          <w:rFonts w:ascii="Bookman Old Style" w:hAnsi="Bookman Old Style"/>
          <w:szCs w:val="24"/>
        </w:rPr>
        <w:tab/>
      </w:r>
      <w:r>
        <w:rPr>
          <w:rFonts w:ascii="Bookman Old Style" w:hAnsi="Bookman Old Style"/>
          <w:szCs w:val="24"/>
        </w:rPr>
        <w:t>None</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AC192F"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AC192F">
        <w:rPr>
          <w:rFonts w:ascii="Bookman Old Style" w:hAnsi="Bookman Old Style"/>
          <w:szCs w:val="24"/>
        </w:rPr>
        <w:t>claimant</w:t>
      </w:r>
      <w:r w:rsidRPr="0046604B">
        <w:rPr>
          <w:rFonts w:ascii="Bookman Old Style" w:hAnsi="Bookman Old Style"/>
          <w:szCs w:val="24"/>
        </w:rPr>
        <w:t xml:space="preserve"> filed an appeal against a </w:t>
      </w:r>
      <w:r w:rsidR="00AC192F">
        <w:rPr>
          <w:rFonts w:ascii="Bookman Old Style" w:hAnsi="Bookman Old Style"/>
          <w:szCs w:val="24"/>
        </w:rPr>
        <w:t>June 15, 2020</w:t>
      </w:r>
      <w:r w:rsidRPr="0046604B">
        <w:rPr>
          <w:rFonts w:ascii="Bookman Old Style" w:hAnsi="Bookman Old Style"/>
          <w:szCs w:val="24"/>
        </w:rPr>
        <w:t xml:space="preserve"> determination that </w:t>
      </w:r>
      <w:r w:rsidR="00AC192F">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AC192F">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AC192F">
        <w:rPr>
          <w:rFonts w:ascii="Bookman Old Style" w:hAnsi="Bookman Old Style"/>
          <w:szCs w:val="24"/>
        </w:rPr>
        <w:t>voluntarily left work without good cause</w:t>
      </w:r>
      <w:r w:rsidRPr="0046604B">
        <w:rPr>
          <w:rFonts w:ascii="Bookman Old Style" w:hAnsi="Bookman Old Style"/>
          <w:szCs w:val="24"/>
        </w:rPr>
        <w:t>. The Division</w:t>
      </w:r>
      <w:r w:rsidR="00AC192F">
        <w:rPr>
          <w:rFonts w:ascii="Bookman Old Style" w:hAnsi="Bookman Old Style"/>
          <w:szCs w:val="24"/>
        </w:rPr>
        <w:t xml:space="preserve"> of Employment and Training Services </w:t>
      </w:r>
      <w:r w:rsidRPr="0046604B">
        <w:rPr>
          <w:rFonts w:ascii="Bookman Old Style" w:hAnsi="Bookman Old Style"/>
          <w:szCs w:val="24"/>
        </w:rPr>
        <w:t>mailed the determination to the claimant’s address of record on</w:t>
      </w:r>
    </w:p>
    <w:p w:rsidR="007D3C7D" w:rsidRDefault="00AC192F" w:rsidP="0046604B">
      <w:pPr>
        <w:tabs>
          <w:tab w:val="left" w:pos="-1440"/>
          <w:tab w:val="left" w:pos="-720"/>
        </w:tabs>
        <w:rPr>
          <w:rFonts w:ascii="Bookman Old Style" w:hAnsi="Bookman Old Style"/>
          <w:szCs w:val="24"/>
        </w:rPr>
      </w:pPr>
      <w:r>
        <w:rPr>
          <w:rFonts w:ascii="Bookman Old Style" w:hAnsi="Bookman Old Style"/>
          <w:szCs w:val="24"/>
        </w:rPr>
        <w:t>June 16, 2020</w:t>
      </w:r>
      <w:r w:rsidR="0078796F" w:rsidRPr="0046604B">
        <w:rPr>
          <w:rFonts w:ascii="Bookman Old Style" w:hAnsi="Bookman Old Style"/>
          <w:szCs w:val="24"/>
        </w:rPr>
        <w:t xml:space="preserve">. The claimant filed </w:t>
      </w:r>
      <w:r w:rsidR="00AA51B8">
        <w:rPr>
          <w:rFonts w:ascii="Bookman Old Style" w:hAnsi="Bookman Old Style"/>
          <w:szCs w:val="24"/>
        </w:rPr>
        <w:t>an</w:t>
      </w:r>
      <w:r w:rsidR="0078796F" w:rsidRPr="0046604B">
        <w:rPr>
          <w:rFonts w:ascii="Bookman Old Style" w:hAnsi="Bookman Old Style"/>
          <w:szCs w:val="24"/>
        </w:rPr>
        <w:t xml:space="preserve"> appeal on </w:t>
      </w:r>
      <w:r>
        <w:rPr>
          <w:rFonts w:ascii="Bookman Old Style" w:hAnsi="Bookman Old Style"/>
          <w:szCs w:val="24"/>
        </w:rPr>
        <w:t>Monday, July 20, 2020</w:t>
      </w:r>
      <w:r w:rsidR="007D3C7D">
        <w:rPr>
          <w:rFonts w:ascii="Bookman Old Style" w:hAnsi="Bookman Old Style"/>
          <w:szCs w:val="24"/>
        </w:rPr>
        <w:t>, bringing forth the issue of timeliness of the appeal</w:t>
      </w:r>
      <w:r w:rsidR="0078796F"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Pr="0046604B" w:rsidRDefault="00AC192F" w:rsidP="0046604B">
      <w:pPr>
        <w:tabs>
          <w:tab w:val="left" w:pos="-1440"/>
          <w:tab w:val="left" w:pos="-720"/>
        </w:tabs>
        <w:rPr>
          <w:rFonts w:ascii="Bookman Old Style" w:hAnsi="Bookman Old Style"/>
          <w:szCs w:val="24"/>
        </w:rPr>
      </w:pPr>
      <w:r>
        <w:rPr>
          <w:rFonts w:ascii="Bookman Old Style" w:hAnsi="Bookman Old Style"/>
          <w:szCs w:val="24"/>
        </w:rPr>
        <w:t>The claimant’s appeal was filed on the 34</w:t>
      </w:r>
      <w:r w:rsidRPr="00AC192F">
        <w:rPr>
          <w:rFonts w:ascii="Bookman Old Style" w:hAnsi="Bookman Old Style"/>
          <w:szCs w:val="24"/>
          <w:vertAlign w:val="superscript"/>
        </w:rPr>
        <w:t>th</w:t>
      </w:r>
      <w:r>
        <w:rPr>
          <w:rFonts w:ascii="Bookman Old Style" w:hAnsi="Bookman Old Style"/>
          <w:szCs w:val="24"/>
        </w:rPr>
        <w:t xml:space="preserve"> day following the mailing of the determination by the Division</w:t>
      </w:r>
      <w:r w:rsidR="0078796F" w:rsidRPr="0046604B">
        <w:rPr>
          <w:rFonts w:ascii="Bookman Old Style" w:hAnsi="Bookman Old Style"/>
          <w:szCs w:val="24"/>
        </w:rPr>
        <w:t>.</w:t>
      </w: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t>AS 23.20.340. Determination of claims.</w:t>
      </w: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w:t>
      </w:r>
      <w:r w:rsidRPr="00D813A9">
        <w:rPr>
          <w:rFonts w:ascii="Bookman Old Style" w:hAnsi="Bookman Old Style"/>
          <w:spacing w:val="-3"/>
          <w:szCs w:val="24"/>
        </w:rPr>
        <w:lastRenderedPageBreak/>
        <w:t>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AC192F" w:rsidRDefault="00AC192F" w:rsidP="00AC192F">
      <w:pPr>
        <w:tabs>
          <w:tab w:val="left" w:pos="-720"/>
          <w:tab w:val="left" w:pos="1440"/>
        </w:tabs>
        <w:suppressAutoHyphens/>
      </w:pPr>
      <w:r>
        <w:rPr>
          <w:rFonts w:ascii="Bookman Old Style" w:hAnsi="Bookman Old Style"/>
          <w:spacing w:val="-3"/>
        </w:rPr>
        <w:t>Under Rule 6 of the Rules of Civil Procedure an additional three days is added to the prescribed period for service by mail. The rule also states that the last day of the period is counted unless it is a Saturday, Sunday or a legal holiday.</w:t>
      </w:r>
    </w:p>
    <w:p w:rsidR="0078796F" w:rsidRPr="0046604B" w:rsidRDefault="0078796F" w:rsidP="0046604B">
      <w:pPr>
        <w:tabs>
          <w:tab w:val="left" w:pos="-720"/>
          <w:tab w:val="left" w:pos="1440"/>
        </w:tabs>
        <w:suppressAutoHyphens/>
        <w:rPr>
          <w:rFonts w:ascii="Bookman Old Style" w:hAnsi="Bookman Old Style"/>
          <w:spacing w:val="-3"/>
          <w:szCs w:val="24"/>
        </w:rPr>
      </w:pPr>
    </w:p>
    <w:p w:rsidR="0078796F" w:rsidRPr="0046604B" w:rsidRDefault="00AC192F"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filed his appeal on Monday following the last day of the 33 day period, which was Sunday. As noted in Rule 6, the appeal is timely.</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Default="00AC192F"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June 15, 2020</w:t>
      </w:r>
      <w:r w:rsidR="0078796F" w:rsidRPr="0046604B">
        <w:rPr>
          <w:rFonts w:ascii="Bookman Old Style" w:hAnsi="Bookman Old Style"/>
          <w:spacing w:val="-3"/>
          <w:szCs w:val="24"/>
        </w:rPr>
        <w:t xml:space="preserve"> is </w:t>
      </w:r>
      <w:r w:rsidR="00F82F7D">
        <w:rPr>
          <w:rFonts w:ascii="Bookman Old Style" w:hAnsi="Bookman Old Style"/>
          <w:b/>
          <w:spacing w:val="-3"/>
          <w:szCs w:val="24"/>
        </w:rPr>
        <w:t>GRANTED</w:t>
      </w:r>
      <w:r w:rsidR="0078796F" w:rsidRPr="0046604B">
        <w:rPr>
          <w:rFonts w:ascii="Bookman Old Style" w:hAnsi="Bookman Old Style"/>
          <w:spacing w:val="-3"/>
          <w:szCs w:val="24"/>
        </w:rPr>
        <w:t>.</w:t>
      </w:r>
    </w:p>
    <w:p w:rsidR="00F82F7D" w:rsidRDefault="00F82F7D" w:rsidP="00F82F7D">
      <w:pPr>
        <w:pStyle w:val="Heading4"/>
        <w:jc w:val="center"/>
        <w:rPr>
          <w:rFonts w:ascii="Bookman Old Style" w:hAnsi="Bookman Old Style"/>
          <w:i w:val="0"/>
          <w:color w:val="auto"/>
        </w:rPr>
      </w:pPr>
      <w:r w:rsidRPr="00F82F7D">
        <w:rPr>
          <w:rFonts w:ascii="Bookman Old Style" w:hAnsi="Bookman Old Style"/>
          <w:i w:val="0"/>
          <w:color w:val="auto"/>
        </w:rPr>
        <w:t>FINDINGS OF FACT</w:t>
      </w:r>
    </w:p>
    <w:p w:rsidR="00F82F7D" w:rsidRPr="00F82F7D" w:rsidRDefault="00F82F7D" w:rsidP="00F82F7D">
      <w:pPr>
        <w:jc w:val="center"/>
      </w:pPr>
      <w:r>
        <w:t>(Separation)</w:t>
      </w:r>
    </w:p>
    <w:p w:rsidR="00F82F7D" w:rsidRPr="00774034" w:rsidRDefault="00F82F7D" w:rsidP="00F82F7D">
      <w:pPr>
        <w:tabs>
          <w:tab w:val="left" w:pos="-1440"/>
          <w:tab w:val="left" w:pos="-720"/>
        </w:tabs>
        <w:rPr>
          <w:rFonts w:ascii="Bookman Old Style" w:hAnsi="Bookman Old Style"/>
        </w:rPr>
      </w:pPr>
    </w:p>
    <w:p w:rsidR="00F82F7D" w:rsidRPr="00C035D6" w:rsidRDefault="00F82F7D" w:rsidP="00F82F7D">
      <w:pPr>
        <w:widowControl/>
        <w:tabs>
          <w:tab w:val="left" w:pos="-1440"/>
          <w:tab w:val="left" w:pos="-720"/>
        </w:tabs>
        <w:rPr>
          <w:rFonts w:ascii="Bookman Old Style" w:hAnsi="Bookman Old Style"/>
          <w:snapToGrid/>
          <w:szCs w:val="24"/>
        </w:rPr>
      </w:pPr>
      <w:r w:rsidRPr="00C035D6">
        <w:rPr>
          <w:rFonts w:ascii="Bookman Old Style" w:hAnsi="Bookman Old Style"/>
          <w:snapToGrid/>
          <w:szCs w:val="24"/>
        </w:rPr>
        <w:t>The claimant began work for the employer on</w:t>
      </w:r>
      <w:r>
        <w:rPr>
          <w:rFonts w:ascii="Bookman Old Style" w:hAnsi="Bookman Old Style"/>
          <w:snapToGrid/>
          <w:szCs w:val="24"/>
        </w:rPr>
        <w:t xml:space="preserve"> or about March 13, 2020</w:t>
      </w:r>
      <w:r w:rsidRPr="00C035D6">
        <w:rPr>
          <w:rFonts w:ascii="Bookman Old Style" w:hAnsi="Bookman Old Style"/>
          <w:snapToGrid/>
          <w:szCs w:val="24"/>
        </w:rPr>
        <w:t xml:space="preserve">. </w:t>
      </w:r>
      <w:r>
        <w:rPr>
          <w:rFonts w:ascii="Bookman Old Style" w:hAnsi="Bookman Old Style"/>
          <w:snapToGrid/>
          <w:szCs w:val="24"/>
        </w:rPr>
        <w:t>He</w:t>
      </w:r>
      <w:r w:rsidRPr="00C035D6">
        <w:rPr>
          <w:rFonts w:ascii="Bookman Old Style" w:hAnsi="Bookman Old Style"/>
          <w:snapToGrid/>
          <w:szCs w:val="24"/>
        </w:rPr>
        <w:t xml:space="preserve"> last worked on </w:t>
      </w:r>
      <w:r>
        <w:rPr>
          <w:rFonts w:ascii="Bookman Old Style" w:hAnsi="Bookman Old Style"/>
          <w:snapToGrid/>
          <w:szCs w:val="24"/>
        </w:rPr>
        <w:t>March 16, 2020</w:t>
      </w:r>
      <w:r w:rsidRPr="00C035D6">
        <w:rPr>
          <w:rFonts w:ascii="Bookman Old Style" w:hAnsi="Bookman Old Style"/>
          <w:snapToGrid/>
          <w:szCs w:val="24"/>
        </w:rPr>
        <w:t xml:space="preserve">. At that time, </w:t>
      </w:r>
      <w:r>
        <w:rPr>
          <w:rFonts w:ascii="Bookman Old Style" w:hAnsi="Bookman Old Style"/>
          <w:snapToGrid/>
          <w:szCs w:val="24"/>
        </w:rPr>
        <w:t>he</w:t>
      </w:r>
      <w:r w:rsidRPr="00C035D6">
        <w:rPr>
          <w:rFonts w:ascii="Bookman Old Style" w:hAnsi="Bookman Old Style"/>
          <w:snapToGrid/>
          <w:szCs w:val="24"/>
        </w:rPr>
        <w:t xml:space="preserve"> worked </w:t>
      </w:r>
      <w:r>
        <w:rPr>
          <w:rFonts w:ascii="Bookman Old Style" w:hAnsi="Bookman Old Style"/>
          <w:snapToGrid/>
          <w:szCs w:val="24"/>
        </w:rPr>
        <w:t>part time</w:t>
      </w:r>
      <w:r w:rsidRPr="00C035D6">
        <w:rPr>
          <w:rFonts w:ascii="Bookman Old Style" w:hAnsi="Bookman Old Style"/>
          <w:snapToGrid/>
          <w:szCs w:val="24"/>
        </w:rPr>
        <w:t xml:space="preserve"> as a </w:t>
      </w:r>
      <w:r>
        <w:rPr>
          <w:rFonts w:ascii="Bookman Old Style" w:hAnsi="Bookman Old Style"/>
          <w:snapToGrid/>
          <w:szCs w:val="24"/>
        </w:rPr>
        <w:t>breakfast attendant</w:t>
      </w:r>
      <w:r w:rsidRPr="00C035D6">
        <w:rPr>
          <w:rFonts w:ascii="Bookman Old Style" w:hAnsi="Bookman Old Style"/>
          <w:snapToGrid/>
          <w:szCs w:val="24"/>
        </w:rPr>
        <w:t>.</w:t>
      </w:r>
      <w:r>
        <w:rPr>
          <w:rFonts w:ascii="Bookman Old Style" w:hAnsi="Bookman Old Style"/>
          <w:snapToGrid/>
          <w:szCs w:val="24"/>
        </w:rPr>
        <w:t xml:space="preserve"> He was paid an hourly wage.</w:t>
      </w:r>
      <w:r w:rsidRPr="00151883">
        <w:rPr>
          <w:rFonts w:ascii="Bookman Old Style" w:hAnsi="Bookman Old Style"/>
          <w:snapToGrid/>
          <w:szCs w:val="24"/>
        </w:rPr>
        <w:t xml:space="preserve"> </w:t>
      </w:r>
      <w:r w:rsidRPr="00C035D6">
        <w:rPr>
          <w:rFonts w:ascii="Bookman Old Style" w:hAnsi="Bookman Old Style"/>
          <w:snapToGrid/>
          <w:szCs w:val="24"/>
        </w:rPr>
        <w:t xml:space="preserve">The claimant </w:t>
      </w:r>
      <w:r w:rsidR="00B42529">
        <w:rPr>
          <w:rFonts w:ascii="Bookman Old Style" w:hAnsi="Bookman Old Style"/>
          <w:snapToGrid/>
          <w:szCs w:val="24"/>
        </w:rPr>
        <w:t>filed an additional</w:t>
      </w:r>
      <w:r w:rsidRPr="00C035D6">
        <w:rPr>
          <w:rFonts w:ascii="Bookman Old Style" w:hAnsi="Bookman Old Style"/>
          <w:snapToGrid/>
          <w:szCs w:val="24"/>
        </w:rPr>
        <w:t xml:space="preserve"> claim for unemployment insurance benefits effective </w:t>
      </w:r>
      <w:r w:rsidR="00B3773A">
        <w:rPr>
          <w:rFonts w:ascii="Bookman Old Style" w:hAnsi="Bookman Old Style"/>
          <w:snapToGrid/>
          <w:szCs w:val="24"/>
        </w:rPr>
        <w:t>April 19, 2020</w:t>
      </w:r>
      <w:r w:rsidRPr="00C035D6">
        <w:rPr>
          <w:rFonts w:ascii="Bookman Old Style" w:hAnsi="Bookman Old Style"/>
          <w:snapToGrid/>
          <w:szCs w:val="24"/>
        </w:rPr>
        <w:t xml:space="preserve">. </w:t>
      </w:r>
    </w:p>
    <w:p w:rsidR="00F82F7D" w:rsidRDefault="00F82F7D" w:rsidP="00F82F7D">
      <w:pPr>
        <w:tabs>
          <w:tab w:val="left" w:pos="-1440"/>
          <w:tab w:val="left" w:pos="-720"/>
        </w:tabs>
        <w:rPr>
          <w:rFonts w:ascii="Bookman Old Style" w:hAnsi="Bookman Old Style"/>
        </w:rPr>
      </w:pPr>
    </w:p>
    <w:p w:rsidR="00B3773A" w:rsidRDefault="00B3773A" w:rsidP="00F82F7D">
      <w:pPr>
        <w:tabs>
          <w:tab w:val="left" w:pos="-1440"/>
          <w:tab w:val="left" w:pos="-720"/>
        </w:tabs>
        <w:rPr>
          <w:rFonts w:ascii="Bookman Old Style" w:hAnsi="Bookman Old Style"/>
        </w:rPr>
      </w:pPr>
      <w:r>
        <w:rPr>
          <w:rFonts w:ascii="Bookman Old Style" w:hAnsi="Bookman Old Style"/>
        </w:rPr>
        <w:t xml:space="preserve">The claimant was approached by a guest of the hotel about a matter in her room. The claimant escorted her to the front desk. The manager on duty told the claimant that </w:t>
      </w:r>
      <w:r>
        <w:rPr>
          <w:rFonts w:ascii="Bookman Old Style" w:hAnsi="Bookman Old Style"/>
        </w:rPr>
        <w:lastRenderedPageBreak/>
        <w:t xml:space="preserve">the guest issue with her room was no concern of his and he should get his butt back to the breakfast area. The guest apologized to the claimant for getting him in trouble. </w:t>
      </w:r>
    </w:p>
    <w:p w:rsidR="00B3773A" w:rsidRDefault="00B3773A" w:rsidP="00F82F7D">
      <w:pPr>
        <w:tabs>
          <w:tab w:val="left" w:pos="-1440"/>
          <w:tab w:val="left" w:pos="-720"/>
        </w:tabs>
        <w:rPr>
          <w:rFonts w:ascii="Bookman Old Style" w:hAnsi="Bookman Old Style"/>
        </w:rPr>
      </w:pPr>
    </w:p>
    <w:p w:rsidR="00B3773A" w:rsidRDefault="00B3773A" w:rsidP="00F82F7D">
      <w:pPr>
        <w:tabs>
          <w:tab w:val="left" w:pos="-1440"/>
          <w:tab w:val="left" w:pos="-720"/>
        </w:tabs>
        <w:rPr>
          <w:rFonts w:ascii="Bookman Old Style" w:hAnsi="Bookman Old Style"/>
        </w:rPr>
      </w:pPr>
      <w:r>
        <w:rPr>
          <w:rFonts w:ascii="Bookman Old Style" w:hAnsi="Bookman Old Style"/>
        </w:rPr>
        <w:t xml:space="preserve">The claimant went back to the breakfast area. He talked to a coworker and decided that he would leave work that day. He did not contact the general manager or speak to anyone else in management. </w:t>
      </w:r>
    </w:p>
    <w:p w:rsidR="00B3773A" w:rsidRDefault="00B3773A" w:rsidP="00F82F7D">
      <w:pPr>
        <w:tabs>
          <w:tab w:val="left" w:pos="-1440"/>
          <w:tab w:val="left" w:pos="-720"/>
        </w:tabs>
        <w:rPr>
          <w:rFonts w:ascii="Bookman Old Style" w:hAnsi="Bookman Old Style"/>
        </w:rPr>
      </w:pPr>
    </w:p>
    <w:p w:rsidR="00B3773A" w:rsidRPr="00774034" w:rsidRDefault="00B3773A" w:rsidP="00F82F7D">
      <w:pPr>
        <w:tabs>
          <w:tab w:val="left" w:pos="-1440"/>
          <w:tab w:val="left" w:pos="-720"/>
        </w:tabs>
        <w:rPr>
          <w:rFonts w:ascii="Bookman Old Style" w:hAnsi="Bookman Old Style"/>
        </w:rPr>
      </w:pPr>
      <w:r>
        <w:rPr>
          <w:rFonts w:ascii="Bookman Old Style" w:hAnsi="Bookman Old Style"/>
        </w:rPr>
        <w:t>The claimant later attempted to call the general manager but was not able to reach anyone. He returned for his paycheck, but it was not available. He was not paid for several weeks due to the pandemic.</w:t>
      </w:r>
    </w:p>
    <w:p w:rsidR="00F82F7D" w:rsidRPr="00F82F7D" w:rsidRDefault="00F82F7D" w:rsidP="00F82F7D">
      <w:pPr>
        <w:pStyle w:val="Heading4"/>
        <w:jc w:val="center"/>
        <w:rPr>
          <w:rFonts w:ascii="Bookman Old Style" w:hAnsi="Bookman Old Style"/>
          <w:i w:val="0"/>
          <w:color w:val="auto"/>
        </w:rPr>
      </w:pPr>
      <w:r w:rsidRPr="00F82F7D">
        <w:rPr>
          <w:rFonts w:ascii="Bookman Old Style" w:hAnsi="Bookman Old Style"/>
          <w:i w:val="0"/>
          <w:color w:val="auto"/>
        </w:rPr>
        <w:t>PROVISIONS OF LAW</w:t>
      </w:r>
    </w:p>
    <w:p w:rsidR="00F82F7D" w:rsidRDefault="00F82F7D" w:rsidP="00F82F7D">
      <w:pPr>
        <w:tabs>
          <w:tab w:val="left" w:pos="-1440"/>
          <w:tab w:val="left" w:pos="-720"/>
        </w:tabs>
        <w:rPr>
          <w:rFonts w:ascii="Bookman Old Style" w:hAnsi="Bookman Old Style"/>
        </w:rPr>
      </w:pPr>
    </w:p>
    <w:p w:rsidR="00F82F7D" w:rsidRPr="00C841ED" w:rsidRDefault="00F82F7D" w:rsidP="00F82F7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AS 23.20.379 provides in part:</w:t>
      </w:r>
    </w:p>
    <w:p w:rsidR="00F82F7D" w:rsidRPr="00E1431E" w:rsidRDefault="00F82F7D" w:rsidP="00F82F7D">
      <w:pPr>
        <w:tabs>
          <w:tab w:val="left" w:pos="-1440"/>
          <w:tab w:val="left" w:pos="-720"/>
          <w:tab w:val="left" w:pos="0"/>
          <w:tab w:val="left" w:pos="720"/>
        </w:tabs>
        <w:suppressAutoHyphens/>
        <w:ind w:right="-360"/>
        <w:rPr>
          <w:rFonts w:ascii="Bookman Old Style" w:hAnsi="Bookman Old Style"/>
        </w:rPr>
      </w:pPr>
      <w:r>
        <w:rPr>
          <w:rFonts w:ascii="Bookman Old Style" w:hAnsi="Bookman Old Style"/>
        </w:rPr>
        <w:tab/>
      </w:r>
    </w:p>
    <w:p w:rsidR="00F82F7D" w:rsidRDefault="00F82F7D" w:rsidP="00F82F7D">
      <w:pPr>
        <w:tabs>
          <w:tab w:val="left" w:pos="-1440"/>
          <w:tab w:val="left" w:pos="-720"/>
          <w:tab w:val="left" w:pos="0"/>
          <w:tab w:val="left" w:pos="1440"/>
        </w:tabs>
        <w:suppressAutoHyphens/>
        <w:ind w:left="1440" w:right="-360" w:hanging="720"/>
        <w:rPr>
          <w:rFonts w:ascii="Bookman Old Style" w:hAnsi="Bookman Old Style"/>
        </w:rPr>
      </w:pPr>
      <w:r w:rsidRPr="00E1431E">
        <w:rPr>
          <w:rFonts w:ascii="Bookman Old Style" w:hAnsi="Bookman Old Style"/>
        </w:rPr>
        <w:t>(a)</w:t>
      </w:r>
      <w:r>
        <w:rPr>
          <w:rFonts w:ascii="Bookman Old Style" w:hAnsi="Bookman Old Style"/>
        </w:rPr>
        <w:t xml:space="preserve">  </w:t>
      </w:r>
      <w:r w:rsidRPr="00E1431E">
        <w:rPr>
          <w:rFonts w:ascii="Bookman Old Style" w:hAnsi="Bookman Old Style"/>
        </w:rPr>
        <w:t xml:space="preserve">  </w:t>
      </w:r>
      <w:r>
        <w:rPr>
          <w:rFonts w:ascii="Bookman Old Style" w:hAnsi="Bookman Old Style"/>
        </w:rPr>
        <w:t xml:space="preserve">  </w:t>
      </w:r>
      <w:r w:rsidRPr="00E1431E">
        <w:rPr>
          <w:rFonts w:ascii="Bookman Old Style" w:hAnsi="Bookman Old Style"/>
        </w:rPr>
        <w:t>An insured worker is disqualified for waiting-week credit</w:t>
      </w:r>
      <w:r>
        <w:rPr>
          <w:rFonts w:ascii="Bookman Old Style" w:hAnsi="Bookman Old Style"/>
        </w:rPr>
        <w:t xml:space="preserve"> </w:t>
      </w:r>
      <w:r w:rsidRPr="00E1431E">
        <w:rPr>
          <w:rFonts w:ascii="Bookman Old Style" w:hAnsi="Bookman Old Style"/>
        </w:rPr>
        <w:t>or benefits for the first week in which the insured worker is unemployed and for the next five weeks of unemployment following that week if the insured worker...</w:t>
      </w:r>
    </w:p>
    <w:p w:rsidR="00F82F7D" w:rsidRDefault="00F82F7D" w:rsidP="00F82F7D">
      <w:pPr>
        <w:tabs>
          <w:tab w:val="left" w:pos="-1440"/>
          <w:tab w:val="left" w:pos="-720"/>
          <w:tab w:val="left" w:pos="0"/>
          <w:tab w:val="left" w:pos="720"/>
          <w:tab w:val="left" w:pos="1440"/>
        </w:tabs>
        <w:suppressAutoHyphens/>
        <w:ind w:left="720" w:right="-360"/>
        <w:rPr>
          <w:rFonts w:ascii="Bookman Old Style" w:hAnsi="Bookman Old Style"/>
        </w:rPr>
      </w:pPr>
    </w:p>
    <w:p w:rsidR="00F82F7D" w:rsidRDefault="00F82F7D" w:rsidP="00F82F7D">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76180C">
        <w:rPr>
          <w:rFonts w:ascii="Bookman Old Style" w:hAnsi="Bookman Old Style"/>
          <w:szCs w:val="24"/>
        </w:rPr>
        <w:t xml:space="preserve">left the insured worker's last suitable work voluntarily without </w:t>
      </w:r>
      <w:r>
        <w:rPr>
          <w:rFonts w:ascii="Bookman Old Style" w:hAnsi="Bookman Old Style"/>
          <w:szCs w:val="24"/>
        </w:rPr>
        <w:t xml:space="preserve"> </w:t>
      </w:r>
      <w:r w:rsidRPr="0076180C">
        <w:rPr>
          <w:rFonts w:ascii="Bookman Old Style" w:hAnsi="Bookman Old Style"/>
          <w:szCs w:val="24"/>
        </w:rPr>
        <w:t>good cause....</w:t>
      </w:r>
    </w:p>
    <w:p w:rsidR="00F82F7D" w:rsidRDefault="00F82F7D" w:rsidP="00F82F7D">
      <w:pPr>
        <w:tabs>
          <w:tab w:val="left" w:pos="-1440"/>
          <w:tab w:val="left" w:pos="-720"/>
        </w:tabs>
        <w:rPr>
          <w:rFonts w:ascii="Bookman Old Style" w:hAnsi="Bookman Old Style"/>
        </w:rPr>
      </w:pPr>
    </w:p>
    <w:p w:rsidR="00F82F7D" w:rsidRDefault="00F82F7D" w:rsidP="00F82F7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8 AAC 85.095 provides in part:</w:t>
      </w:r>
    </w:p>
    <w:p w:rsidR="00F82F7D" w:rsidRDefault="00F82F7D" w:rsidP="00F82F7D">
      <w:pPr>
        <w:tabs>
          <w:tab w:val="left" w:pos="-1440"/>
          <w:tab w:val="left" w:pos="-720"/>
          <w:tab w:val="left" w:pos="0"/>
          <w:tab w:val="left" w:pos="720"/>
          <w:tab w:val="left" w:pos="1440"/>
        </w:tabs>
        <w:suppressAutoHyphens/>
        <w:ind w:right="-360"/>
        <w:rPr>
          <w:rFonts w:ascii="Bookman Old Style" w:hAnsi="Bookman Old Style"/>
          <w:b/>
        </w:rPr>
      </w:pPr>
    </w:p>
    <w:p w:rsidR="00F82F7D" w:rsidRDefault="00F82F7D" w:rsidP="00F82F7D">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(c) </w:t>
      </w:r>
      <w:r w:rsidRPr="00F23DBE">
        <w:rPr>
          <w:rFonts w:ascii="Bookman Old Style" w:hAnsi="Bookman Old Style"/>
          <w:snapToGrid/>
          <w:szCs w:val="24"/>
        </w:rPr>
        <w:tab/>
        <w:t xml:space="preserve">To determine the existence of good cause under AS 23.20.379(a)(1) for voluntarily leaving work determined to be suitable under </w:t>
      </w:r>
    </w:p>
    <w:p w:rsidR="00F82F7D" w:rsidRPr="00F23DBE" w:rsidRDefault="00F82F7D" w:rsidP="00F82F7D">
      <w:pPr>
        <w:widowControl/>
        <w:autoSpaceDE w:val="0"/>
        <w:autoSpaceDN w:val="0"/>
        <w:adjustRightInd w:val="0"/>
        <w:ind w:left="1440"/>
        <w:rPr>
          <w:rFonts w:ascii="Bookman Old Style" w:hAnsi="Bookman Old Style"/>
          <w:snapToGrid/>
          <w:szCs w:val="24"/>
        </w:rPr>
      </w:pPr>
      <w:r w:rsidRPr="00F23DBE">
        <w:rPr>
          <w:rFonts w:ascii="Bookman Old Style" w:hAnsi="Bookman Old Style"/>
          <w:snapToGrid/>
          <w:szCs w:val="24"/>
        </w:rPr>
        <w:t>AS 23.20.385, the department will consider only the following factors:</w:t>
      </w:r>
    </w:p>
    <w:p w:rsidR="00F82F7D" w:rsidRDefault="00F82F7D" w:rsidP="00F82F7D">
      <w:pPr>
        <w:widowControl/>
        <w:autoSpaceDE w:val="0"/>
        <w:autoSpaceDN w:val="0"/>
        <w:adjustRightInd w:val="0"/>
        <w:ind w:left="1440" w:hanging="720"/>
        <w:rPr>
          <w:rFonts w:ascii="Bookman Old Style" w:hAnsi="Bookman Old Style"/>
          <w:snapToGrid/>
          <w:szCs w:val="24"/>
        </w:rPr>
      </w:pPr>
    </w:p>
    <w:p w:rsidR="00F82F7D" w:rsidRPr="00F23DBE" w:rsidRDefault="00F82F7D" w:rsidP="00F82F7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(1) </w:t>
      </w:r>
      <w:r w:rsidRPr="00F23DBE">
        <w:rPr>
          <w:rFonts w:ascii="Bookman Old Style" w:hAnsi="Bookman Old Style"/>
          <w:snapToGrid/>
          <w:szCs w:val="24"/>
        </w:rPr>
        <w:tab/>
        <w:t xml:space="preserve">leaving work due to a </w:t>
      </w:r>
      <w:r>
        <w:rPr>
          <w:rFonts w:ascii="Bookman Old Style" w:hAnsi="Bookman Old Style"/>
          <w:snapToGrid/>
          <w:szCs w:val="24"/>
        </w:rPr>
        <w:t>disability or illness of the claimant that makes it impossible for the claimant to perform the duties required by the work, if the claimant has no other reasonable alternative but to leave work;</w:t>
      </w:r>
    </w:p>
    <w:p w:rsidR="00F82F7D" w:rsidRPr="00F23DBE" w:rsidRDefault="00F82F7D" w:rsidP="00F82F7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(2) </w:t>
      </w:r>
      <w:r w:rsidRPr="00F23DBE">
        <w:rPr>
          <w:rFonts w:ascii="Bookman Old Style" w:hAnsi="Bookman Old Style"/>
          <w:snapToGrid/>
          <w:szCs w:val="24"/>
        </w:rPr>
        <w:tab/>
        <w:t>leaving work to care for an immediate family member who</w:t>
      </w:r>
      <w:r>
        <w:rPr>
          <w:rFonts w:ascii="Bookman Old Style" w:hAnsi="Bookman Old Style"/>
          <w:snapToGrid/>
          <w:szCs w:val="24"/>
        </w:rPr>
        <w:t xml:space="preserve"> has a disability or illness</w:t>
      </w:r>
      <w:r w:rsidRPr="00F23DBE">
        <w:rPr>
          <w:rFonts w:ascii="Bookman Old Style" w:hAnsi="Bookman Old Style"/>
          <w:snapToGrid/>
          <w:szCs w:val="24"/>
        </w:rPr>
        <w:t>;</w:t>
      </w:r>
    </w:p>
    <w:p w:rsidR="00F82F7D" w:rsidRPr="00F23DBE" w:rsidRDefault="00F82F7D" w:rsidP="00F82F7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(3) </w:t>
      </w:r>
      <w:r w:rsidRPr="00F23DBE">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F82F7D" w:rsidRPr="00F23DBE" w:rsidRDefault="00F82F7D" w:rsidP="00F82F7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(4) </w:t>
      </w:r>
      <w:r w:rsidRPr="00F23DBE">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F82F7D" w:rsidRPr="00F23DBE" w:rsidRDefault="00F82F7D" w:rsidP="00F82F7D">
      <w:pPr>
        <w:widowControl/>
        <w:autoSpaceDE w:val="0"/>
        <w:autoSpaceDN w:val="0"/>
        <w:adjustRightInd w:val="0"/>
        <w:rPr>
          <w:rFonts w:ascii="Bookman Old Style" w:hAnsi="Bookman Old Style"/>
          <w:snapToGrid/>
          <w:szCs w:val="24"/>
        </w:rPr>
      </w:pPr>
    </w:p>
    <w:p w:rsidR="00F82F7D" w:rsidRPr="00F23DBE" w:rsidRDefault="00F82F7D" w:rsidP="00F82F7D">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(A) discharge from military service; or</w:t>
      </w:r>
    </w:p>
    <w:p w:rsidR="00F82F7D" w:rsidRPr="00F23DBE" w:rsidRDefault="00F82F7D" w:rsidP="00F82F7D">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(B) employment;</w:t>
      </w:r>
    </w:p>
    <w:p w:rsidR="00F82F7D" w:rsidRPr="00F23DBE" w:rsidRDefault="00F82F7D" w:rsidP="00F82F7D">
      <w:pPr>
        <w:widowControl/>
        <w:autoSpaceDE w:val="0"/>
        <w:autoSpaceDN w:val="0"/>
        <w:adjustRightInd w:val="0"/>
        <w:rPr>
          <w:rFonts w:ascii="Bookman Old Style" w:hAnsi="Bookman Old Style"/>
          <w:snapToGrid/>
          <w:szCs w:val="24"/>
        </w:rPr>
      </w:pPr>
    </w:p>
    <w:p w:rsidR="00F82F7D" w:rsidRPr="00F23DBE" w:rsidRDefault="00F82F7D" w:rsidP="00F82F7D">
      <w:pPr>
        <w:widowControl/>
        <w:autoSpaceDE w:val="0"/>
        <w:autoSpaceDN w:val="0"/>
        <w:adjustRightInd w:val="0"/>
        <w:ind w:left="2160" w:hanging="660"/>
        <w:rPr>
          <w:rFonts w:ascii="Bookman Old Style" w:hAnsi="Bookman Old Style"/>
          <w:snapToGrid/>
          <w:szCs w:val="24"/>
        </w:rPr>
      </w:pPr>
      <w:r w:rsidRPr="00F23DBE">
        <w:rPr>
          <w:rFonts w:ascii="Bookman Old Style" w:hAnsi="Bookman Old Style"/>
          <w:snapToGrid/>
          <w:szCs w:val="24"/>
        </w:rPr>
        <w:t xml:space="preserve">(5) </w:t>
      </w:r>
      <w:r w:rsidRPr="00F23DBE">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F82F7D" w:rsidRPr="00F23DBE" w:rsidRDefault="00F82F7D" w:rsidP="00F82F7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lastRenderedPageBreak/>
        <w:t>(6)</w:t>
      </w:r>
      <w:r w:rsidRPr="00F23DBE">
        <w:rPr>
          <w:rFonts w:ascii="Bookman Old Style" w:hAnsi="Bookman Old Style"/>
          <w:snapToGrid/>
          <w:szCs w:val="24"/>
        </w:rPr>
        <w:tab/>
        <w:t xml:space="preserve">leaving work in order to protect the claimant or the </w:t>
      </w:r>
      <w:r>
        <w:rPr>
          <w:rFonts w:ascii="Bookman Old Style" w:hAnsi="Bookman Old Style"/>
          <w:snapToGrid/>
          <w:szCs w:val="24"/>
        </w:rPr>
        <w:t xml:space="preserve">              </w:t>
      </w:r>
      <w:r w:rsidRPr="00F23DBE">
        <w:rPr>
          <w:rFonts w:ascii="Bookman Old Style" w:hAnsi="Bookman Old Style"/>
          <w:snapToGrid/>
          <w:szCs w:val="24"/>
        </w:rPr>
        <w:t xml:space="preserve">claimant’s immediate family members from harassment or </w:t>
      </w:r>
      <w:r>
        <w:rPr>
          <w:rFonts w:ascii="Bookman Old Style" w:hAnsi="Bookman Old Style"/>
          <w:snapToGrid/>
          <w:szCs w:val="24"/>
        </w:rPr>
        <w:t xml:space="preserve">   </w:t>
      </w:r>
      <w:r w:rsidRPr="00F23DBE">
        <w:rPr>
          <w:rFonts w:ascii="Bookman Old Style" w:hAnsi="Bookman Old Style"/>
          <w:snapToGrid/>
          <w:szCs w:val="24"/>
        </w:rPr>
        <w:t>violence;</w:t>
      </w:r>
    </w:p>
    <w:p w:rsidR="00F82F7D" w:rsidRDefault="00F82F7D" w:rsidP="002A0BF4">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(7)</w:t>
      </w:r>
      <w:r w:rsidRPr="00F23DBE">
        <w:rPr>
          <w:rFonts w:ascii="Bookman Old Style" w:hAnsi="Bookman Old Style"/>
          <w:snapToGrid/>
          <w:szCs w:val="24"/>
        </w:rPr>
        <w:tab/>
      </w:r>
      <w:r>
        <w:rPr>
          <w:rFonts w:ascii="Bookman Old Style" w:hAnsi="Bookman Old Style"/>
          <w:snapToGrid/>
          <w:szCs w:val="24"/>
        </w:rPr>
        <w:t xml:space="preserve">leaving work to accept a bonafide offer of work that offers               better wages, benefits, hours, or other working conditions; if          the new work does not materialize, the reasons for the work           not materializing must not be due to the fault of the worker; </w:t>
      </w:r>
    </w:p>
    <w:p w:rsidR="00F82F7D" w:rsidRPr="00026FBD" w:rsidRDefault="00F82F7D" w:rsidP="00F82F7D">
      <w:pPr>
        <w:widowControl/>
        <w:autoSpaceDE w:val="0"/>
        <w:autoSpaceDN w:val="0"/>
        <w:adjustRightInd w:val="0"/>
        <w:ind w:left="1440"/>
        <w:rPr>
          <w:rFonts w:ascii="Bookman Old Style" w:hAnsi="Bookman Old Style"/>
          <w:snapToGrid/>
          <w:szCs w:val="24"/>
        </w:rPr>
      </w:pPr>
      <w:r>
        <w:rPr>
          <w:rFonts w:ascii="Bookman Old Style" w:hAnsi="Bookman Old Style"/>
          <w:snapToGrid/>
          <w:szCs w:val="24"/>
        </w:rPr>
        <w:t>(8)</w:t>
      </w:r>
      <w:r>
        <w:rPr>
          <w:rFonts w:ascii="Bookman Old Style" w:hAnsi="Bookman Old Style"/>
          <w:snapToGrid/>
          <w:szCs w:val="24"/>
        </w:rPr>
        <w:tab/>
        <w:t>other factors listed in AS 23.20.385(b).</w:t>
      </w:r>
    </w:p>
    <w:p w:rsidR="00F82F7D" w:rsidRDefault="00F82F7D" w:rsidP="00F82F7D">
      <w:pPr>
        <w:widowControl/>
        <w:autoSpaceDE w:val="0"/>
        <w:autoSpaceDN w:val="0"/>
        <w:adjustRightInd w:val="0"/>
        <w:rPr>
          <w:rFonts w:ascii="Bookman Old Style" w:hAnsi="Bookman Old Style"/>
          <w:b/>
          <w:snapToGrid/>
          <w:szCs w:val="24"/>
        </w:rPr>
      </w:pPr>
    </w:p>
    <w:p w:rsidR="00F82F7D" w:rsidRPr="00B24A00" w:rsidRDefault="00F82F7D" w:rsidP="00F82F7D">
      <w:pPr>
        <w:widowControl/>
        <w:autoSpaceDE w:val="0"/>
        <w:autoSpaceDN w:val="0"/>
        <w:adjustRightInd w:val="0"/>
        <w:rPr>
          <w:rFonts w:ascii="Bookman Old Style" w:hAnsi="Bookman Old Style"/>
          <w:b/>
          <w:snapToGrid/>
          <w:szCs w:val="24"/>
        </w:rPr>
      </w:pPr>
      <w:r w:rsidRPr="00B24A00">
        <w:rPr>
          <w:rFonts w:ascii="Bookman Old Style" w:hAnsi="Bookman Old Style"/>
          <w:b/>
          <w:snapToGrid/>
          <w:szCs w:val="24"/>
        </w:rPr>
        <w:t>AS 23.20.385(b) provides, in part:</w:t>
      </w:r>
    </w:p>
    <w:p w:rsidR="00F82F7D" w:rsidRPr="00F23DBE" w:rsidRDefault="00F82F7D" w:rsidP="00F82F7D">
      <w:pPr>
        <w:widowControl/>
        <w:autoSpaceDE w:val="0"/>
        <w:autoSpaceDN w:val="0"/>
        <w:adjustRightInd w:val="0"/>
        <w:rPr>
          <w:rFonts w:ascii="Bookman Old Style" w:hAnsi="Bookman Old Style"/>
          <w:snapToGrid/>
          <w:szCs w:val="24"/>
        </w:rPr>
      </w:pPr>
    </w:p>
    <w:p w:rsidR="00F82F7D" w:rsidRPr="00F23DBE" w:rsidRDefault="00F82F7D" w:rsidP="00F82F7D">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(b) </w:t>
      </w:r>
      <w:r>
        <w:rPr>
          <w:rFonts w:ascii="Bookman Old Style" w:hAnsi="Bookman Old Style"/>
          <w:snapToGrid/>
          <w:szCs w:val="24"/>
        </w:rPr>
        <w:tab/>
      </w:r>
      <w:r w:rsidRPr="00F23DBE">
        <w:rPr>
          <w:rFonts w:ascii="Bookman Old Style" w:hAnsi="Bookman Old Style"/>
          <w:snapToGrid/>
          <w:szCs w:val="24"/>
        </w:rPr>
        <w:t>In determining whether work is suitable for a claimant and in determining the</w:t>
      </w:r>
      <w:r>
        <w:rPr>
          <w:rFonts w:ascii="Bookman Old Style" w:hAnsi="Bookman Old Style"/>
          <w:snapToGrid/>
          <w:szCs w:val="24"/>
        </w:rPr>
        <w:t xml:space="preserve"> </w:t>
      </w:r>
      <w:r w:rsidRPr="00F23DBE">
        <w:rPr>
          <w:rFonts w:ascii="Bookman Old Style" w:hAnsi="Bookman Old Style"/>
          <w:snapToGrid/>
          <w:szCs w:val="24"/>
        </w:rPr>
        <w:t>existence of good cause for leaving or refusing work, the department shall, in addition to</w:t>
      </w:r>
      <w:r>
        <w:rPr>
          <w:rFonts w:ascii="Bookman Old Style" w:hAnsi="Bookman Old Style"/>
          <w:snapToGrid/>
          <w:szCs w:val="24"/>
        </w:rPr>
        <w:t xml:space="preserve"> </w:t>
      </w:r>
      <w:r w:rsidRPr="00F23DBE">
        <w:rPr>
          <w:rFonts w:ascii="Bookman Old Style" w:hAnsi="Bookman Old Style"/>
          <w:snapToGrid/>
          <w:szCs w:val="24"/>
        </w:rPr>
        <w:t>determining the existence of any of the conditions specified in (a) of this section, consider the</w:t>
      </w:r>
      <w:r>
        <w:rPr>
          <w:rFonts w:ascii="Bookman Old Style" w:hAnsi="Bookman Old Style"/>
          <w:snapToGrid/>
          <w:szCs w:val="24"/>
        </w:rPr>
        <w:t xml:space="preserve"> </w:t>
      </w:r>
      <w:r w:rsidRPr="00F23DBE">
        <w:rPr>
          <w:rFonts w:ascii="Bookman Old Style" w:hAnsi="Bookman Old Style"/>
          <w:snapToGrid/>
          <w:szCs w:val="24"/>
        </w:rPr>
        <w:t>degree of risk to the claimant's health, safety, and morals, the claimant's physical fitness for the</w:t>
      </w:r>
      <w:r>
        <w:rPr>
          <w:rFonts w:ascii="Bookman Old Style" w:hAnsi="Bookman Old Style"/>
          <w:snapToGrid/>
          <w:szCs w:val="24"/>
        </w:rPr>
        <w:t xml:space="preserve"> </w:t>
      </w:r>
      <w:r w:rsidRPr="00F23DBE">
        <w:rPr>
          <w:rFonts w:ascii="Bookman Old Style" w:hAnsi="Bookman Old Style"/>
          <w:snapToGrid/>
          <w:szCs w:val="24"/>
        </w:rPr>
        <w:t xml:space="preserve">work, the claimant's prior training, experience, and earnings, the length of the </w:t>
      </w:r>
      <w:r>
        <w:rPr>
          <w:rFonts w:ascii="Bookman Old Style" w:hAnsi="Bookman Old Style"/>
          <w:snapToGrid/>
          <w:szCs w:val="24"/>
        </w:rPr>
        <w:t>c</w:t>
      </w:r>
      <w:r w:rsidRPr="00F23DBE">
        <w:rPr>
          <w:rFonts w:ascii="Bookman Old Style" w:hAnsi="Bookman Old Style"/>
          <w:snapToGrid/>
          <w:szCs w:val="24"/>
        </w:rPr>
        <w:t>laimant's</w:t>
      </w:r>
      <w:r>
        <w:rPr>
          <w:rFonts w:ascii="Bookman Old Style" w:hAnsi="Bookman Old Style"/>
          <w:snapToGrid/>
          <w:szCs w:val="24"/>
        </w:rPr>
        <w:t xml:space="preserve"> </w:t>
      </w:r>
      <w:r w:rsidRPr="00F23DBE">
        <w:rPr>
          <w:rFonts w:ascii="Bookman Old Style" w:hAnsi="Bookman Old Style"/>
          <w:snapToGrid/>
          <w:szCs w:val="24"/>
        </w:rPr>
        <w:t>unemployment, the prospects for obtaining work at the claimant's highest skill, the distance of</w:t>
      </w:r>
      <w:r>
        <w:rPr>
          <w:rFonts w:ascii="Bookman Old Style" w:hAnsi="Bookman Old Style"/>
          <w:snapToGrid/>
          <w:szCs w:val="24"/>
        </w:rPr>
        <w:t xml:space="preserve"> </w:t>
      </w:r>
      <w:r w:rsidRPr="00F23DBE">
        <w:rPr>
          <w:rFonts w:ascii="Bookman Old Style" w:hAnsi="Bookman Old Style"/>
          <w:snapToGrid/>
          <w:szCs w:val="24"/>
        </w:rPr>
        <w:t>the available work from the claimant's residence, the prospects for obtaining local work, and</w:t>
      </w:r>
    </w:p>
    <w:p w:rsidR="00F82F7D" w:rsidRDefault="00F82F7D" w:rsidP="00F82F7D">
      <w:pPr>
        <w:widowControl/>
        <w:autoSpaceDE w:val="0"/>
        <w:autoSpaceDN w:val="0"/>
        <w:adjustRightInd w:val="0"/>
        <w:ind w:left="1440"/>
        <w:rPr>
          <w:rFonts w:ascii="Bookman Old Style" w:hAnsi="Bookman Old Style"/>
          <w:snapToGrid/>
          <w:szCs w:val="24"/>
        </w:rPr>
      </w:pPr>
      <w:r w:rsidRPr="00F23DBE">
        <w:rPr>
          <w:rFonts w:ascii="Bookman Old Style" w:hAnsi="Bookman Old Style"/>
          <w:snapToGrid/>
          <w:szCs w:val="24"/>
        </w:rPr>
        <w:t>other factors that influence a reasonably prudent person in the claimant's circumstances.</w:t>
      </w:r>
    </w:p>
    <w:p w:rsidR="00F82F7D" w:rsidRDefault="00F82F7D" w:rsidP="00F82F7D"/>
    <w:p w:rsidR="00F82F7D" w:rsidRPr="0080245E" w:rsidRDefault="00F82F7D" w:rsidP="00F82F7D"/>
    <w:p w:rsidR="00F82F7D" w:rsidRPr="00F82F7D" w:rsidRDefault="00F82F7D" w:rsidP="00F82F7D">
      <w:pPr>
        <w:pStyle w:val="Heading4"/>
        <w:jc w:val="center"/>
        <w:rPr>
          <w:rFonts w:ascii="Bookman Old Style" w:hAnsi="Bookman Old Style"/>
          <w:i w:val="0"/>
          <w:color w:val="auto"/>
        </w:rPr>
      </w:pPr>
      <w:r w:rsidRPr="00F82F7D">
        <w:rPr>
          <w:rFonts w:ascii="Bookman Old Style" w:hAnsi="Bookman Old Style"/>
          <w:i w:val="0"/>
          <w:color w:val="auto"/>
        </w:rPr>
        <w:t>CONCLUSION</w:t>
      </w:r>
    </w:p>
    <w:p w:rsidR="00F82F7D" w:rsidRPr="00C035D6" w:rsidRDefault="00F82F7D" w:rsidP="00F82F7D"/>
    <w:p w:rsidR="00B3773A" w:rsidRPr="0070034D" w:rsidRDefault="00B3773A" w:rsidP="00B3773A">
      <w:pPr>
        <w:tabs>
          <w:tab w:val="left" w:pos="720"/>
          <w:tab w:val="left" w:pos="1440"/>
          <w:tab w:val="left" w:pos="2160"/>
          <w:tab w:val="left" w:pos="5587"/>
        </w:tabs>
        <w:suppressAutoHyphens/>
        <w:rPr>
          <w:rFonts w:ascii="Bookman Old Style" w:hAnsi="Bookman Old Style"/>
          <w:i/>
        </w:rPr>
      </w:pPr>
      <w:r w:rsidRPr="0070034D">
        <w:rPr>
          <w:rFonts w:ascii="Bookman Old Style" w:hAnsi="Bookman Old Style"/>
          <w:i/>
        </w:rPr>
        <w:t xml:space="preserve">We have ruled in cases similar to this that even where a worker has an adequate reason for leaving work, the worker must attempt to remedy the situation before leaving in order to escape disqualification under AS 23.20.379. The worker must give the employer a chance to remedy his grievance. </w:t>
      </w:r>
      <w:r w:rsidRPr="0070034D">
        <w:rPr>
          <w:rFonts w:ascii="Bookman Old Style" w:hAnsi="Bookman Old Style"/>
          <w:i/>
          <w:u w:val="single"/>
        </w:rPr>
        <w:t>Larson</w:t>
      </w:r>
      <w:r>
        <w:rPr>
          <w:rFonts w:ascii="Bookman Old Style" w:hAnsi="Bookman Old Style"/>
          <w:i/>
        </w:rPr>
        <w:t>, Comm</w:t>
      </w:r>
      <w:r w:rsidRPr="0070034D">
        <w:rPr>
          <w:rFonts w:ascii="Bookman Old Style" w:hAnsi="Bookman Old Style"/>
          <w:i/>
        </w:rPr>
        <w:t xml:space="preserve">. Dec. 9121530, Nov. 8, 1991, aff’d </w:t>
      </w:r>
      <w:r w:rsidRPr="0070034D">
        <w:rPr>
          <w:rFonts w:ascii="Bookman Old Style" w:hAnsi="Bookman Old Style"/>
          <w:i/>
          <w:u w:val="single"/>
        </w:rPr>
        <w:t>Larson v. Employment Security Division</w:t>
      </w:r>
      <w:r w:rsidRPr="0070034D">
        <w:rPr>
          <w:rFonts w:ascii="Bookman Old Style" w:hAnsi="Bookman Old Style"/>
          <w:i/>
        </w:rPr>
        <w:t>, Superior Court 3JD No. 3 KN-91-1065 civil, March 4, 1993.</w:t>
      </w:r>
      <w:r w:rsidRPr="0070034D">
        <w:rPr>
          <w:rFonts w:ascii="Bookman Old Style" w:hAnsi="Bookman Old Style"/>
          <w:i/>
        </w:rPr>
        <w:fldChar w:fldCharType="begin"/>
      </w:r>
      <w:r w:rsidRPr="0070034D">
        <w:rPr>
          <w:rFonts w:ascii="Bookman Old Style" w:hAnsi="Bookman Old Style"/>
          <w:i/>
        </w:rPr>
        <w:instrText xml:space="preserve">PRIVATE </w:instrText>
      </w:r>
      <w:r w:rsidRPr="0070034D">
        <w:rPr>
          <w:rFonts w:ascii="Bookman Old Style" w:hAnsi="Bookman Old Style"/>
          <w:i/>
        </w:rPr>
        <w:fldChar w:fldCharType="end"/>
      </w:r>
    </w:p>
    <w:p w:rsidR="00F82F7D" w:rsidRDefault="00F82F7D" w:rsidP="00F82F7D">
      <w:pPr>
        <w:tabs>
          <w:tab w:val="left" w:pos="-1440"/>
          <w:tab w:val="left" w:pos="-720"/>
        </w:tabs>
        <w:rPr>
          <w:rFonts w:ascii="Bookman Old Style" w:hAnsi="Bookman Old Style"/>
        </w:rPr>
      </w:pPr>
    </w:p>
    <w:p w:rsidR="00B3773A" w:rsidRDefault="00B3773A" w:rsidP="00F82F7D">
      <w:pPr>
        <w:tabs>
          <w:tab w:val="left" w:pos="-1440"/>
          <w:tab w:val="left" w:pos="-720"/>
        </w:tabs>
        <w:rPr>
          <w:rFonts w:ascii="Bookman Old Style" w:hAnsi="Bookman Old Style"/>
        </w:rPr>
      </w:pPr>
      <w:r>
        <w:rPr>
          <w:rFonts w:ascii="Bookman Old Style" w:hAnsi="Bookman Old Style"/>
        </w:rPr>
        <w:t>The claimant left immediately after he was confronted in front of a guest. He did not seek out higher management to remedy the matter. He believed that he should not have to accept that behavior from a supervisor.</w:t>
      </w:r>
    </w:p>
    <w:p w:rsidR="00B3773A" w:rsidRDefault="00B3773A" w:rsidP="00F82F7D">
      <w:pPr>
        <w:tabs>
          <w:tab w:val="left" w:pos="-1440"/>
          <w:tab w:val="left" w:pos="-720"/>
        </w:tabs>
        <w:rPr>
          <w:rFonts w:ascii="Bookman Old Style" w:hAnsi="Bookman Old Style"/>
        </w:rPr>
      </w:pPr>
    </w:p>
    <w:p w:rsidR="00B3773A" w:rsidRPr="00774034" w:rsidRDefault="00B3773A" w:rsidP="00F82F7D">
      <w:pPr>
        <w:tabs>
          <w:tab w:val="left" w:pos="-1440"/>
          <w:tab w:val="left" w:pos="-720"/>
        </w:tabs>
        <w:rPr>
          <w:rFonts w:ascii="Bookman Old Style" w:hAnsi="Bookman Old Style"/>
        </w:rPr>
      </w:pPr>
      <w:r>
        <w:rPr>
          <w:rFonts w:ascii="Bookman Old Style" w:hAnsi="Bookman Old Style"/>
        </w:rPr>
        <w:t xml:space="preserve">As in </w:t>
      </w:r>
      <w:r w:rsidRPr="0039699C">
        <w:rPr>
          <w:rFonts w:ascii="Bookman Old Style" w:hAnsi="Bookman Old Style"/>
          <w:u w:val="single"/>
        </w:rPr>
        <w:t>Larson</w:t>
      </w:r>
      <w:r>
        <w:rPr>
          <w:rFonts w:ascii="Bookman Old Style" w:hAnsi="Bookman Old Style"/>
        </w:rPr>
        <w:t>, the claimant did not give the employer an opportunity to remedy his grievance before leaving his job.</w:t>
      </w:r>
    </w:p>
    <w:p w:rsidR="00F82F7D" w:rsidRPr="00F82F7D" w:rsidRDefault="00F82F7D" w:rsidP="00F82F7D">
      <w:pPr>
        <w:pStyle w:val="Heading4"/>
        <w:jc w:val="center"/>
        <w:rPr>
          <w:rFonts w:ascii="Bookman Old Style" w:hAnsi="Bookman Old Style"/>
          <w:i w:val="0"/>
          <w:color w:val="auto"/>
        </w:rPr>
      </w:pPr>
      <w:r w:rsidRPr="00F82F7D">
        <w:rPr>
          <w:rFonts w:ascii="Bookman Old Style" w:hAnsi="Bookman Old Style"/>
          <w:i w:val="0"/>
          <w:color w:val="auto"/>
        </w:rPr>
        <w:t>DECISION</w:t>
      </w:r>
    </w:p>
    <w:p w:rsidR="00F82F7D" w:rsidRPr="00774034" w:rsidRDefault="00F82F7D" w:rsidP="00F82F7D">
      <w:pPr>
        <w:tabs>
          <w:tab w:val="left" w:pos="-1440"/>
          <w:tab w:val="left" w:pos="-720"/>
        </w:tabs>
        <w:rPr>
          <w:rFonts w:ascii="Bookman Old Style" w:hAnsi="Bookman Old Style"/>
        </w:rPr>
      </w:pPr>
    </w:p>
    <w:p w:rsidR="00F82F7D" w:rsidRDefault="00F82F7D" w:rsidP="00F82F7D">
      <w:pPr>
        <w:tabs>
          <w:tab w:val="left" w:pos="-1440"/>
          <w:tab w:val="left" w:pos="-720"/>
        </w:tabs>
        <w:suppressAutoHyphens/>
        <w:ind w:right="-360"/>
        <w:rPr>
          <w:rFonts w:ascii="Bookman Old Style" w:hAnsi="Bookman Old Style"/>
          <w:snapToGrid/>
          <w:szCs w:val="24"/>
        </w:rPr>
      </w:pPr>
      <w:r w:rsidRPr="00C035D6">
        <w:rPr>
          <w:rFonts w:ascii="Bookman Old Style" w:hAnsi="Bookman Old Style"/>
          <w:snapToGrid/>
          <w:szCs w:val="24"/>
        </w:rPr>
        <w:t xml:space="preserve">The determination issued on </w:t>
      </w:r>
      <w:r w:rsidR="00B3773A">
        <w:rPr>
          <w:rFonts w:ascii="Bookman Old Style" w:hAnsi="Bookman Old Style"/>
          <w:snapToGrid/>
          <w:szCs w:val="24"/>
        </w:rPr>
        <w:t>June 15, 2020</w:t>
      </w:r>
      <w:r w:rsidRPr="00C035D6">
        <w:rPr>
          <w:rFonts w:ascii="Bookman Old Style" w:hAnsi="Bookman Old Style"/>
          <w:snapToGrid/>
          <w:szCs w:val="24"/>
        </w:rPr>
        <w:t xml:space="preserve"> is </w:t>
      </w:r>
      <w:r w:rsidR="00B3773A">
        <w:rPr>
          <w:rFonts w:ascii="Bookman Old Style" w:hAnsi="Bookman Old Style"/>
          <w:b/>
          <w:snapToGrid/>
          <w:szCs w:val="24"/>
        </w:rPr>
        <w:t>AFFIRMED</w:t>
      </w:r>
      <w:r w:rsidRPr="00C035D6">
        <w:rPr>
          <w:rFonts w:ascii="Bookman Old Style" w:hAnsi="Bookman Old Style"/>
          <w:snapToGrid/>
          <w:szCs w:val="24"/>
        </w:rPr>
        <w:t xml:space="preserve">. Benefits are </w:t>
      </w:r>
      <w:r w:rsidR="00B3773A">
        <w:rPr>
          <w:rFonts w:ascii="Bookman Old Style" w:hAnsi="Bookman Old Style"/>
          <w:snapToGrid/>
          <w:szCs w:val="24"/>
        </w:rPr>
        <w:t>denied</w:t>
      </w:r>
      <w:r w:rsidRPr="00C035D6">
        <w:rPr>
          <w:rFonts w:ascii="Bookman Old Style" w:hAnsi="Bookman Old Style"/>
          <w:snapToGrid/>
          <w:szCs w:val="24"/>
        </w:rPr>
        <w:t xml:space="preserve"> for the weeks ending </w:t>
      </w:r>
      <w:r w:rsidR="00B3773A">
        <w:rPr>
          <w:rFonts w:ascii="Bookman Old Style" w:hAnsi="Bookman Old Style"/>
          <w:snapToGrid/>
          <w:szCs w:val="24"/>
        </w:rPr>
        <w:t>March 21, 2020</w:t>
      </w:r>
      <w:r w:rsidRPr="00C035D6">
        <w:rPr>
          <w:rFonts w:ascii="Bookman Old Style" w:hAnsi="Bookman Old Style"/>
          <w:snapToGrid/>
          <w:szCs w:val="24"/>
        </w:rPr>
        <w:t xml:space="preserve"> through </w:t>
      </w:r>
      <w:r w:rsidR="00B3773A">
        <w:rPr>
          <w:rFonts w:ascii="Bookman Old Style" w:hAnsi="Bookman Old Style"/>
          <w:snapToGrid/>
          <w:szCs w:val="24"/>
        </w:rPr>
        <w:t>April 25, 2020</w:t>
      </w:r>
      <w:r w:rsidRPr="00C035D6">
        <w:rPr>
          <w:rFonts w:ascii="Bookman Old Style" w:hAnsi="Bookman Old Style"/>
          <w:snapToGrid/>
          <w:szCs w:val="24"/>
        </w:rPr>
        <w:t>.</w:t>
      </w:r>
      <w:r>
        <w:rPr>
          <w:rFonts w:ascii="Bookman Old Style" w:hAnsi="Bookman Old Style"/>
          <w:snapToGrid/>
          <w:szCs w:val="24"/>
        </w:rPr>
        <w:t xml:space="preserve"> </w:t>
      </w:r>
      <w:r>
        <w:rPr>
          <w:rFonts w:ascii="Bookman Old Style" w:hAnsi="Bookman Old Style"/>
          <w:szCs w:val="24"/>
        </w:rPr>
        <w:t xml:space="preserve">The three weeks are </w:t>
      </w:r>
      <w:r w:rsidR="00B3773A">
        <w:rPr>
          <w:rFonts w:ascii="Bookman Old Style" w:hAnsi="Bookman Old Style"/>
          <w:snapToGrid/>
          <w:szCs w:val="24"/>
        </w:rPr>
        <w:t xml:space="preserve">reduced from </w:t>
      </w:r>
      <w:r>
        <w:rPr>
          <w:rFonts w:ascii="Bookman Old Style" w:hAnsi="Bookman Old Style"/>
          <w:szCs w:val="24"/>
        </w:rPr>
        <w:t xml:space="preserve">the claimant’s maximum benefits. The claimant </w:t>
      </w:r>
      <w:r w:rsidR="00B3773A">
        <w:rPr>
          <w:rFonts w:ascii="Bookman Old Style" w:hAnsi="Bookman Old Style"/>
          <w:snapToGrid/>
          <w:szCs w:val="24"/>
        </w:rPr>
        <w:t xml:space="preserve">may not </w:t>
      </w:r>
      <w:r>
        <w:rPr>
          <w:rFonts w:ascii="Bookman Old Style" w:hAnsi="Bookman Old Style"/>
          <w:szCs w:val="24"/>
        </w:rPr>
        <w:t>be eligible for extended benefits under AS 23.20.406-409.</w:t>
      </w:r>
    </w:p>
    <w:p w:rsidR="00F82F7D" w:rsidRPr="00C035D6" w:rsidRDefault="00F82F7D" w:rsidP="00F82F7D">
      <w:pPr>
        <w:widowControl/>
        <w:tabs>
          <w:tab w:val="left" w:pos="-1440"/>
          <w:tab w:val="left" w:pos="-720"/>
        </w:tabs>
        <w:rPr>
          <w:rFonts w:ascii="Bookman Old Style" w:hAnsi="Bookman Old Style"/>
          <w:snapToGrid/>
          <w:szCs w:val="24"/>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2A0BF4">
        <w:rPr>
          <w:rFonts w:ascii="Bookman Old Style" w:hAnsi="Bookman Old Style"/>
          <w:szCs w:val="24"/>
        </w:rPr>
        <w:t>August 31, 2020</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E7" w:rsidRDefault="008C64E7">
      <w:pPr>
        <w:widowControl/>
        <w:spacing w:line="20" w:lineRule="exact"/>
      </w:pPr>
    </w:p>
  </w:endnote>
  <w:endnote w:type="continuationSeparator" w:id="0">
    <w:p w:rsidR="008C64E7" w:rsidRDefault="008C64E7">
      <w:r>
        <w:t xml:space="preserve"> </w:t>
      </w:r>
    </w:p>
  </w:endnote>
  <w:endnote w:type="continuationNotice" w:id="1">
    <w:p w:rsidR="008C64E7" w:rsidRDefault="008C64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E7" w:rsidRDefault="008C64E7">
      <w:r>
        <w:separator/>
      </w:r>
    </w:p>
  </w:footnote>
  <w:footnote w:type="continuationSeparator" w:id="0">
    <w:p w:rsidR="008C64E7" w:rsidRDefault="008C6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AC192F" w:rsidP="00441D05">
    <w:pPr>
      <w:pStyle w:val="Header"/>
      <w:rPr>
        <w:rFonts w:ascii="Bookman Old Style" w:hAnsi="Bookman Old Style"/>
        <w:sz w:val="22"/>
      </w:rPr>
    </w:pPr>
    <w:r>
      <w:rPr>
        <w:rFonts w:ascii="Bookman Old Style" w:hAnsi="Bookman Old Style"/>
        <w:sz w:val="22"/>
      </w:rPr>
      <w:t>DK# 20 1069</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3E29E3">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E242A"/>
    <w:rsid w:val="001249C2"/>
    <w:rsid w:val="00171C06"/>
    <w:rsid w:val="001F6B5B"/>
    <w:rsid w:val="00280EFF"/>
    <w:rsid w:val="002A0BF4"/>
    <w:rsid w:val="002A1EF1"/>
    <w:rsid w:val="002D6C47"/>
    <w:rsid w:val="002D7F1A"/>
    <w:rsid w:val="00300E9E"/>
    <w:rsid w:val="00324065"/>
    <w:rsid w:val="00341DBC"/>
    <w:rsid w:val="00341E3C"/>
    <w:rsid w:val="00376D90"/>
    <w:rsid w:val="00382259"/>
    <w:rsid w:val="0039699C"/>
    <w:rsid w:val="003E29E3"/>
    <w:rsid w:val="003E64D5"/>
    <w:rsid w:val="00441D05"/>
    <w:rsid w:val="0046604B"/>
    <w:rsid w:val="00476DC4"/>
    <w:rsid w:val="004D05FC"/>
    <w:rsid w:val="004E01C7"/>
    <w:rsid w:val="004F3BD6"/>
    <w:rsid w:val="004F7405"/>
    <w:rsid w:val="00591FFA"/>
    <w:rsid w:val="005A674B"/>
    <w:rsid w:val="005E0966"/>
    <w:rsid w:val="005E53D0"/>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0A0B"/>
    <w:rsid w:val="00871694"/>
    <w:rsid w:val="00890A0D"/>
    <w:rsid w:val="00897129"/>
    <w:rsid w:val="008C64E7"/>
    <w:rsid w:val="008E3C9F"/>
    <w:rsid w:val="008E5F04"/>
    <w:rsid w:val="0090239B"/>
    <w:rsid w:val="00902C89"/>
    <w:rsid w:val="009842BF"/>
    <w:rsid w:val="009D2F1A"/>
    <w:rsid w:val="009D6D32"/>
    <w:rsid w:val="009F1763"/>
    <w:rsid w:val="00A158AF"/>
    <w:rsid w:val="00AA51B8"/>
    <w:rsid w:val="00AC192F"/>
    <w:rsid w:val="00AD5027"/>
    <w:rsid w:val="00AE37DC"/>
    <w:rsid w:val="00AE39CC"/>
    <w:rsid w:val="00B3773A"/>
    <w:rsid w:val="00B42529"/>
    <w:rsid w:val="00B72674"/>
    <w:rsid w:val="00BC45C9"/>
    <w:rsid w:val="00C56D4F"/>
    <w:rsid w:val="00C81ED9"/>
    <w:rsid w:val="00DA7658"/>
    <w:rsid w:val="00DB279F"/>
    <w:rsid w:val="00DC68B2"/>
    <w:rsid w:val="00DF01D8"/>
    <w:rsid w:val="00E10303"/>
    <w:rsid w:val="00E13AAA"/>
    <w:rsid w:val="00E2668C"/>
    <w:rsid w:val="00E95F25"/>
    <w:rsid w:val="00EA2CC6"/>
    <w:rsid w:val="00EB4EAF"/>
    <w:rsid w:val="00F06561"/>
    <w:rsid w:val="00F8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CC1A3"/>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6962D-30E0-49E1-AE16-FDC1FCC2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51</TotalTime>
  <Pages>1</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8958</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8</cp:revision>
  <cp:lastPrinted>2020-08-31T15:42:00Z</cp:lastPrinted>
  <dcterms:created xsi:type="dcterms:W3CDTF">2020-08-28T23:23:00Z</dcterms:created>
  <dcterms:modified xsi:type="dcterms:W3CDTF">2020-08-31T15:54:00Z</dcterms:modified>
</cp:coreProperties>
</file>