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EA35F1"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-614045</wp:posOffset>
            </wp:positionH>
            <wp:positionV relativeFrom="paragraph">
              <wp:posOffset>-585470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8C7255" w:rsidRDefault="0016206D" w:rsidP="00846E93">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Pr="00E1431E" w:rsidRDefault="008C7255">
      <w:pPr>
        <w:tabs>
          <w:tab w:val="center" w:pos="4680"/>
        </w:tabs>
        <w:suppressAutoHyphens/>
        <w:jc w:val="center"/>
        <w:rPr>
          <w:rFonts w:ascii="Bookman Old Style" w:hAnsi="Bookman Old Style"/>
          <w:b/>
        </w:rPr>
      </w:pPr>
    </w:p>
    <w:p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F261EC">
        <w:rPr>
          <w:rFonts w:ascii="Bookman Old Style" w:hAnsi="Bookman Old Style"/>
        </w:rPr>
        <w:t>P20 119</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F261EC">
        <w:rPr>
          <w:rFonts w:ascii="Bookman Old Style" w:hAnsi="Bookman Old Style"/>
        </w:rPr>
        <w:t>November 12, 2020</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F261EC" w:rsidRDefault="00F261EC"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ANATOLY MARTUSHEV</w:t>
      </w:r>
    </w:p>
    <w:p w:rsidR="00EA35F1" w:rsidRDefault="00EA35F1" w:rsidP="00E64C4D">
      <w:pPr>
        <w:widowControl/>
        <w:tabs>
          <w:tab w:val="left" w:pos="-1440"/>
          <w:tab w:val="left" w:pos="-720"/>
          <w:tab w:val="left" w:pos="0"/>
          <w:tab w:val="left" w:pos="5760"/>
        </w:tabs>
        <w:suppressAutoHyphens/>
        <w:ind w:right="-360"/>
        <w:rPr>
          <w:rFonts w:ascii="Bookman Old Style" w:hAnsi="Bookman Old Style"/>
        </w:rPr>
      </w:pPr>
    </w:p>
    <w:p w:rsidR="00EA35F1" w:rsidRDefault="00EA35F1"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Default="00F261EC"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Anatoly Martushev</w:t>
      </w:r>
      <w:r w:rsidR="00395ECA">
        <w:rPr>
          <w:rFonts w:ascii="Bookman Old Style" w:hAnsi="Bookman Old Style"/>
        </w:rPr>
        <w:t xml:space="preserve">                                         </w:t>
      </w:r>
      <w:r w:rsidR="00645DC5">
        <w:rPr>
          <w:rFonts w:ascii="Bookman Old Style" w:hAnsi="Bookman Old Style"/>
        </w:rPr>
        <w:t>Richard Doo</w:t>
      </w:r>
      <w:r>
        <w:rPr>
          <w:rFonts w:ascii="Bookman Old Style" w:hAnsi="Bookman Old Style"/>
        </w:rPr>
        <w:t>gan</w:t>
      </w: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F5C64">
      <w:pPr>
        <w:widowControl/>
        <w:spacing w:after="200"/>
        <w:rPr>
          <w:rFonts w:ascii="Bookman Old Style" w:hAnsi="Bookman Old Style"/>
          <w:snapToGrid/>
          <w:szCs w:val="24"/>
        </w:rPr>
      </w:pPr>
      <w:r w:rsidRPr="00C035D6">
        <w:rPr>
          <w:rFonts w:ascii="Bookman Old Style" w:hAnsi="Bookman Old Style"/>
          <w:snapToGrid/>
          <w:szCs w:val="24"/>
        </w:rPr>
        <w:t xml:space="preserve">The </w:t>
      </w:r>
      <w:r w:rsidR="00F261EC">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timely appealed a</w:t>
      </w:r>
      <w:r w:rsidR="00F261EC">
        <w:rPr>
          <w:rFonts w:ascii="Bookman Old Style" w:hAnsi="Bookman Old Style"/>
          <w:snapToGrid/>
          <w:szCs w:val="24"/>
        </w:rPr>
        <w:t>n August 12, 2020</w:t>
      </w:r>
      <w:r w:rsidRPr="00C035D6">
        <w:rPr>
          <w:rFonts w:ascii="Bookman Old Style" w:hAnsi="Bookman Old Style"/>
          <w:snapToGrid/>
          <w:szCs w:val="24"/>
        </w:rPr>
        <w:t xml:space="preserve"> determination which </w:t>
      </w:r>
      <w:r w:rsidR="00F261EC">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E64C4D" w:rsidRPr="006F5C64" w:rsidRDefault="00E64C4D" w:rsidP="006F5C64">
      <w:pPr>
        <w:widowControl/>
        <w:spacing w:after="200"/>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E64C4D" w:rsidRDefault="00B9578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established a claim for Pandemic Unemployment Assistance benefits effective </w:t>
      </w:r>
      <w:r w:rsidR="00D26C62">
        <w:rPr>
          <w:rFonts w:ascii="Bookman Old Style" w:hAnsi="Bookman Old Style"/>
          <w:snapToGrid/>
          <w:szCs w:val="24"/>
        </w:rPr>
        <w:t>March 29, 2020</w:t>
      </w:r>
      <w:r>
        <w:rPr>
          <w:rFonts w:ascii="Bookman Old Style" w:hAnsi="Bookman Old Style"/>
          <w:snapToGrid/>
          <w:szCs w:val="24"/>
        </w:rPr>
        <w:t xml:space="preserve">. The Division determined that the claimant was not eligible for regular unemployment benefits because </w:t>
      </w:r>
      <w:r w:rsidR="00D26C62">
        <w:rPr>
          <w:rFonts w:ascii="Bookman Old Style" w:hAnsi="Bookman Old Style"/>
          <w:snapToGrid/>
          <w:szCs w:val="24"/>
        </w:rPr>
        <w:t>he</w:t>
      </w:r>
      <w:r>
        <w:rPr>
          <w:rFonts w:ascii="Bookman Old Style" w:hAnsi="Bookman Old Style"/>
          <w:snapToGrid/>
          <w:szCs w:val="24"/>
        </w:rPr>
        <w:t xml:space="preserve"> did not have wages in covered employment on which to base a claim.  </w:t>
      </w:r>
    </w:p>
    <w:p w:rsidR="00B95782" w:rsidRDefault="00B95782" w:rsidP="00E64C4D">
      <w:pPr>
        <w:widowControl/>
        <w:tabs>
          <w:tab w:val="left" w:pos="-1440"/>
          <w:tab w:val="left" w:pos="-720"/>
        </w:tabs>
        <w:rPr>
          <w:rFonts w:ascii="Bookman Old Style" w:hAnsi="Bookman Old Style"/>
          <w:snapToGrid/>
          <w:szCs w:val="24"/>
        </w:rPr>
      </w:pPr>
    </w:p>
    <w:p w:rsidR="00382382" w:rsidRDefault="00D26C6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w:t>
      </w:r>
      <w:r w:rsidR="00382382">
        <w:rPr>
          <w:rFonts w:ascii="Bookman Old Style" w:hAnsi="Bookman Old Style"/>
          <w:snapToGrid/>
          <w:szCs w:val="24"/>
        </w:rPr>
        <w:t>has worked</w:t>
      </w:r>
      <w:r>
        <w:rPr>
          <w:rFonts w:ascii="Bookman Old Style" w:hAnsi="Bookman Old Style"/>
          <w:snapToGrid/>
          <w:szCs w:val="24"/>
        </w:rPr>
        <w:t xml:space="preserve"> as a commercial fisherman</w:t>
      </w:r>
      <w:r w:rsidR="00382382">
        <w:rPr>
          <w:rFonts w:ascii="Bookman Old Style" w:hAnsi="Bookman Old Style"/>
          <w:snapToGrid/>
          <w:szCs w:val="24"/>
        </w:rPr>
        <w:t xml:space="preserve"> for the past ten years</w:t>
      </w:r>
      <w:r>
        <w:rPr>
          <w:rFonts w:ascii="Bookman Old Style" w:hAnsi="Bookman Old Style"/>
          <w:snapToGrid/>
          <w:szCs w:val="24"/>
        </w:rPr>
        <w:t xml:space="preserve">.  He does not own a boat, but works as a skipper on </w:t>
      </w:r>
      <w:r w:rsidR="00382382">
        <w:rPr>
          <w:rFonts w:ascii="Bookman Old Style" w:hAnsi="Bookman Old Style"/>
          <w:snapToGrid/>
          <w:szCs w:val="24"/>
        </w:rPr>
        <w:t xml:space="preserve">one of five </w:t>
      </w:r>
      <w:r>
        <w:rPr>
          <w:rFonts w:ascii="Bookman Old Style" w:hAnsi="Bookman Old Style"/>
          <w:snapToGrid/>
          <w:szCs w:val="24"/>
        </w:rPr>
        <w:t xml:space="preserve">boats owned by other individuals.  The claimant also owns a quota of halibut and black cod that he is permitted to catch. </w:t>
      </w:r>
      <w:r w:rsidR="00382382">
        <w:rPr>
          <w:rFonts w:ascii="Bookman Old Style" w:hAnsi="Bookman Old Style"/>
          <w:snapToGrid/>
          <w:szCs w:val="24"/>
        </w:rPr>
        <w:t xml:space="preserve"> He makes arrangements with the boat owners to sell his own catch while working as a skipper. </w:t>
      </w:r>
    </w:p>
    <w:p w:rsidR="00382382" w:rsidRDefault="00382382" w:rsidP="00E64C4D">
      <w:pPr>
        <w:widowControl/>
        <w:tabs>
          <w:tab w:val="left" w:pos="-1440"/>
          <w:tab w:val="left" w:pos="-720"/>
        </w:tabs>
        <w:rPr>
          <w:rFonts w:ascii="Bookman Old Style" w:hAnsi="Bookman Old Style"/>
          <w:snapToGrid/>
          <w:szCs w:val="24"/>
        </w:rPr>
      </w:pPr>
    </w:p>
    <w:p w:rsidR="00382382" w:rsidRDefault="0038238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fished for grey cod during an opening in January 2020, but the fish processor in Adak that the catch was sold to declared bankruptcy and the claimant was not paid.  He was not sure if the processor’s bankruptcy was </w:t>
      </w:r>
      <w:r w:rsidR="00645DC5">
        <w:rPr>
          <w:rFonts w:ascii="Bookman Old Style" w:hAnsi="Bookman Old Style"/>
          <w:snapToGrid/>
          <w:szCs w:val="24"/>
        </w:rPr>
        <w:t>related</w:t>
      </w:r>
      <w:r>
        <w:rPr>
          <w:rFonts w:ascii="Bookman Old Style" w:hAnsi="Bookman Old Style"/>
          <w:snapToGrid/>
          <w:szCs w:val="24"/>
        </w:rPr>
        <w:t xml:space="preserve"> to the COVID-19 pandemic or not.</w:t>
      </w:r>
    </w:p>
    <w:p w:rsidR="00382382" w:rsidRDefault="00382382" w:rsidP="00E64C4D">
      <w:pPr>
        <w:widowControl/>
        <w:tabs>
          <w:tab w:val="left" w:pos="-1440"/>
          <w:tab w:val="left" w:pos="-720"/>
        </w:tabs>
        <w:rPr>
          <w:rFonts w:ascii="Bookman Old Style" w:hAnsi="Bookman Old Style"/>
          <w:snapToGrid/>
          <w:szCs w:val="24"/>
        </w:rPr>
      </w:pPr>
    </w:p>
    <w:p w:rsidR="00D26C62" w:rsidRDefault="00D26C6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lastRenderedPageBreak/>
        <w:t xml:space="preserve">The claimant expected </w:t>
      </w:r>
      <w:r w:rsidR="00846E93">
        <w:rPr>
          <w:rFonts w:ascii="Bookman Old Style" w:hAnsi="Bookman Old Style"/>
          <w:snapToGrid/>
          <w:szCs w:val="24"/>
        </w:rPr>
        <w:t xml:space="preserve">to be hired </w:t>
      </w:r>
      <w:r w:rsidR="005C7707">
        <w:rPr>
          <w:rFonts w:ascii="Bookman Old Style" w:hAnsi="Bookman Old Style"/>
          <w:snapToGrid/>
          <w:szCs w:val="24"/>
        </w:rPr>
        <w:t xml:space="preserve">by one of three boats </w:t>
      </w:r>
      <w:r w:rsidR="00846E93">
        <w:rPr>
          <w:rFonts w:ascii="Bookman Old Style" w:hAnsi="Bookman Old Style"/>
          <w:snapToGrid/>
          <w:szCs w:val="24"/>
        </w:rPr>
        <w:t xml:space="preserve">to fish </w:t>
      </w:r>
      <w:r>
        <w:rPr>
          <w:rFonts w:ascii="Bookman Old Style" w:hAnsi="Bookman Old Style"/>
          <w:snapToGrid/>
          <w:szCs w:val="24"/>
        </w:rPr>
        <w:t xml:space="preserve">the halibut and black cod season beginning </w:t>
      </w:r>
      <w:r w:rsidR="00846E93">
        <w:rPr>
          <w:rFonts w:ascii="Bookman Old Style" w:hAnsi="Bookman Old Style"/>
          <w:snapToGrid/>
          <w:szCs w:val="24"/>
        </w:rPr>
        <w:t xml:space="preserve">about </w:t>
      </w:r>
      <w:r>
        <w:rPr>
          <w:rFonts w:ascii="Bookman Old Style" w:hAnsi="Bookman Old Style"/>
          <w:snapToGrid/>
          <w:szCs w:val="24"/>
        </w:rPr>
        <w:t xml:space="preserve">March 15, 2020. </w:t>
      </w:r>
      <w:r w:rsidR="00382382">
        <w:rPr>
          <w:rFonts w:ascii="Bookman Old Style" w:hAnsi="Bookman Old Style"/>
          <w:snapToGrid/>
          <w:szCs w:val="24"/>
        </w:rPr>
        <w:t xml:space="preserve">Two boats the </w:t>
      </w:r>
      <w:r w:rsidR="00846E93">
        <w:rPr>
          <w:rFonts w:ascii="Bookman Old Style" w:hAnsi="Bookman Old Style"/>
          <w:snapToGrid/>
          <w:szCs w:val="24"/>
        </w:rPr>
        <w:t xml:space="preserve">claimant had </w:t>
      </w:r>
      <w:r w:rsidR="00382382">
        <w:rPr>
          <w:rFonts w:ascii="Bookman Old Style" w:hAnsi="Bookman Old Style"/>
          <w:snapToGrid/>
          <w:szCs w:val="24"/>
        </w:rPr>
        <w:t xml:space="preserve">expected to fish on did not fish </w:t>
      </w:r>
      <w:r w:rsidR="005C7707">
        <w:rPr>
          <w:rFonts w:ascii="Bookman Old Style" w:hAnsi="Bookman Old Style"/>
          <w:snapToGrid/>
          <w:szCs w:val="24"/>
        </w:rPr>
        <w:t xml:space="preserve">the halibut and black cod season </w:t>
      </w:r>
      <w:r w:rsidR="00382382">
        <w:rPr>
          <w:rFonts w:ascii="Bookman Old Style" w:hAnsi="Bookman Old Style"/>
          <w:snapToGrid/>
          <w:szCs w:val="24"/>
        </w:rPr>
        <w:t xml:space="preserve">because of the poor market </w:t>
      </w:r>
      <w:r w:rsidR="00846E93">
        <w:rPr>
          <w:rFonts w:ascii="Bookman Old Style" w:hAnsi="Bookman Old Style"/>
          <w:snapToGrid/>
          <w:szCs w:val="24"/>
        </w:rPr>
        <w:t xml:space="preserve">price </w:t>
      </w:r>
      <w:r w:rsidR="00382382">
        <w:rPr>
          <w:rFonts w:ascii="Bookman Old Style" w:hAnsi="Bookman Old Style"/>
          <w:snapToGrid/>
          <w:szCs w:val="24"/>
        </w:rPr>
        <w:t>for fish. Another boat owner told the claimant he cou</w:t>
      </w:r>
      <w:r w:rsidR="005C7707">
        <w:rPr>
          <w:rFonts w:ascii="Bookman Old Style" w:hAnsi="Bookman Old Style"/>
          <w:snapToGrid/>
          <w:szCs w:val="24"/>
        </w:rPr>
        <w:t>ld not afford to hire him and the owner</w:t>
      </w:r>
      <w:r w:rsidR="00382382">
        <w:rPr>
          <w:rFonts w:ascii="Bookman Old Style" w:hAnsi="Bookman Old Style"/>
          <w:snapToGrid/>
          <w:szCs w:val="24"/>
        </w:rPr>
        <w:t xml:space="preserve"> planned to skipper the boat himself. </w:t>
      </w:r>
      <w:r w:rsidR="005C7707">
        <w:rPr>
          <w:rFonts w:ascii="Bookman Old Style" w:hAnsi="Bookman Old Style"/>
          <w:snapToGrid/>
          <w:szCs w:val="24"/>
        </w:rPr>
        <w:t>Fish prices were low in 2019 and lower in 2020.</w:t>
      </w:r>
      <w:r w:rsidR="00382382">
        <w:rPr>
          <w:rFonts w:ascii="Bookman Old Style" w:hAnsi="Bookman Old Style"/>
          <w:snapToGrid/>
          <w:szCs w:val="24"/>
        </w:rPr>
        <w:t xml:space="preserve"> The claimant </w:t>
      </w:r>
      <w:r w:rsidR="005C7707">
        <w:rPr>
          <w:rFonts w:ascii="Bookman Old Style" w:hAnsi="Bookman Old Style"/>
          <w:snapToGrid/>
          <w:szCs w:val="24"/>
        </w:rPr>
        <w:t>believes</w:t>
      </w:r>
      <w:r w:rsidR="00382382">
        <w:rPr>
          <w:rFonts w:ascii="Bookman Old Style" w:hAnsi="Bookman Old Style"/>
          <w:snapToGrid/>
          <w:szCs w:val="24"/>
        </w:rPr>
        <w:t xml:space="preserve"> that price for fish wa</w:t>
      </w:r>
      <w:r w:rsidR="00846E93">
        <w:rPr>
          <w:rFonts w:ascii="Bookman Old Style" w:hAnsi="Bookman Old Style"/>
          <w:snapToGrid/>
          <w:szCs w:val="24"/>
        </w:rPr>
        <w:t xml:space="preserve">s </w:t>
      </w:r>
      <w:r w:rsidR="005C7707">
        <w:rPr>
          <w:rFonts w:ascii="Bookman Old Style" w:hAnsi="Bookman Old Style"/>
          <w:snapToGrid/>
          <w:szCs w:val="24"/>
        </w:rPr>
        <w:t>low</w:t>
      </w:r>
      <w:r w:rsidR="00846E93">
        <w:rPr>
          <w:rFonts w:ascii="Bookman Old Style" w:hAnsi="Bookman Old Style"/>
          <w:snapToGrid/>
          <w:szCs w:val="24"/>
        </w:rPr>
        <w:t xml:space="preserve"> </w:t>
      </w:r>
      <w:r w:rsidR="005C7707">
        <w:rPr>
          <w:rFonts w:ascii="Bookman Old Style" w:hAnsi="Bookman Old Style"/>
          <w:snapToGrid/>
          <w:szCs w:val="24"/>
        </w:rPr>
        <w:t xml:space="preserve">in 2020 </w:t>
      </w:r>
      <w:r w:rsidR="00846E93">
        <w:rPr>
          <w:rFonts w:ascii="Bookman Old Style" w:hAnsi="Bookman Old Style"/>
          <w:snapToGrid/>
          <w:szCs w:val="24"/>
        </w:rPr>
        <w:t>because of difficulties fish</w:t>
      </w:r>
      <w:r w:rsidR="00382382">
        <w:rPr>
          <w:rFonts w:ascii="Bookman Old Style" w:hAnsi="Bookman Old Style"/>
          <w:snapToGrid/>
          <w:szCs w:val="24"/>
        </w:rPr>
        <w:t xml:space="preserve"> processors had getting crews </w:t>
      </w:r>
      <w:r w:rsidR="00846E93">
        <w:rPr>
          <w:rFonts w:ascii="Bookman Old Style" w:hAnsi="Bookman Old Style"/>
          <w:snapToGrid/>
          <w:szCs w:val="24"/>
        </w:rPr>
        <w:t xml:space="preserve">to process the fish </w:t>
      </w:r>
      <w:r w:rsidR="00382382">
        <w:rPr>
          <w:rFonts w:ascii="Bookman Old Style" w:hAnsi="Bookman Old Style"/>
          <w:snapToGrid/>
          <w:szCs w:val="24"/>
        </w:rPr>
        <w:t xml:space="preserve">because of the pandemic and because </w:t>
      </w:r>
      <w:r w:rsidR="005C7707">
        <w:rPr>
          <w:rFonts w:ascii="Bookman Old Style" w:hAnsi="Bookman Old Style"/>
          <w:snapToGrid/>
          <w:szCs w:val="24"/>
        </w:rPr>
        <w:t xml:space="preserve">many </w:t>
      </w:r>
      <w:r w:rsidR="00382382">
        <w:rPr>
          <w:rFonts w:ascii="Bookman Old Style" w:hAnsi="Bookman Old Style"/>
          <w:snapToGrid/>
          <w:szCs w:val="24"/>
        </w:rPr>
        <w:t xml:space="preserve">restaurants </w:t>
      </w:r>
      <w:r w:rsidR="00846E93">
        <w:rPr>
          <w:rFonts w:ascii="Bookman Old Style" w:hAnsi="Bookman Old Style"/>
          <w:snapToGrid/>
          <w:szCs w:val="24"/>
        </w:rPr>
        <w:t xml:space="preserve">have been closed due to the pandemic, which </w:t>
      </w:r>
      <w:r w:rsidR="005C7707">
        <w:rPr>
          <w:rFonts w:ascii="Bookman Old Style" w:hAnsi="Bookman Old Style"/>
          <w:snapToGrid/>
          <w:szCs w:val="24"/>
        </w:rPr>
        <w:t>affects</w:t>
      </w:r>
      <w:r w:rsidR="00382382">
        <w:rPr>
          <w:rFonts w:ascii="Bookman Old Style" w:hAnsi="Bookman Old Style"/>
          <w:snapToGrid/>
          <w:szCs w:val="24"/>
        </w:rPr>
        <w:t xml:space="preserve"> the demand for fresh fish. Because the </w:t>
      </w:r>
      <w:r w:rsidR="00846E93">
        <w:rPr>
          <w:rFonts w:ascii="Bookman Old Style" w:hAnsi="Bookman Old Style"/>
          <w:snapToGrid/>
          <w:szCs w:val="24"/>
        </w:rPr>
        <w:t xml:space="preserve">fishing </w:t>
      </w:r>
      <w:r w:rsidR="00382382">
        <w:rPr>
          <w:rFonts w:ascii="Bookman Old Style" w:hAnsi="Bookman Old Style"/>
          <w:snapToGrid/>
          <w:szCs w:val="24"/>
        </w:rPr>
        <w:t xml:space="preserve">profit margin is small, </w:t>
      </w:r>
      <w:r w:rsidR="005C7707">
        <w:rPr>
          <w:rFonts w:ascii="Bookman Old Style" w:hAnsi="Bookman Old Style"/>
          <w:snapToGrid/>
          <w:szCs w:val="24"/>
        </w:rPr>
        <w:t xml:space="preserve">the </w:t>
      </w:r>
      <w:r w:rsidR="00382382">
        <w:rPr>
          <w:rFonts w:ascii="Bookman Old Style" w:hAnsi="Bookman Old Style"/>
          <w:snapToGrid/>
          <w:szCs w:val="24"/>
        </w:rPr>
        <w:t xml:space="preserve">boat owners decided they might lose money </w:t>
      </w:r>
      <w:r w:rsidR="00846E93">
        <w:rPr>
          <w:rFonts w:ascii="Bookman Old Style" w:hAnsi="Bookman Old Style"/>
          <w:snapToGrid/>
          <w:szCs w:val="24"/>
        </w:rPr>
        <w:t>after paying for fuel, bait and crew.</w:t>
      </w:r>
    </w:p>
    <w:p w:rsidR="00382382" w:rsidRDefault="00382382" w:rsidP="00E64C4D">
      <w:pPr>
        <w:widowControl/>
        <w:tabs>
          <w:tab w:val="left" w:pos="-1440"/>
          <w:tab w:val="left" w:pos="-720"/>
        </w:tabs>
        <w:rPr>
          <w:rFonts w:ascii="Bookman Old Style" w:hAnsi="Bookman Old Style"/>
          <w:snapToGrid/>
          <w:szCs w:val="24"/>
        </w:rPr>
      </w:pPr>
    </w:p>
    <w:p w:rsidR="00382382" w:rsidRDefault="0038238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began fishing when the </w:t>
      </w:r>
      <w:r w:rsidR="00846E93">
        <w:rPr>
          <w:rFonts w:ascii="Bookman Old Style" w:hAnsi="Bookman Old Style"/>
          <w:snapToGrid/>
          <w:szCs w:val="24"/>
        </w:rPr>
        <w:t xml:space="preserve">commercial </w:t>
      </w:r>
      <w:r>
        <w:rPr>
          <w:rFonts w:ascii="Bookman Old Style" w:hAnsi="Bookman Old Style"/>
          <w:snapToGrid/>
          <w:szCs w:val="24"/>
        </w:rPr>
        <w:t xml:space="preserve">salmon season opened at the end of June or early July 2020. </w:t>
      </w:r>
      <w:r w:rsidR="00846E93">
        <w:rPr>
          <w:rFonts w:ascii="Bookman Old Style" w:hAnsi="Bookman Old Style"/>
          <w:snapToGrid/>
          <w:szCs w:val="24"/>
        </w:rPr>
        <w:t>He also skippered a boat to fish for halibut an</w:t>
      </w:r>
      <w:r w:rsidR="00645DC5">
        <w:rPr>
          <w:rFonts w:ascii="Bookman Old Style" w:hAnsi="Bookman Old Style"/>
          <w:snapToGrid/>
          <w:szCs w:val="24"/>
        </w:rPr>
        <w:t>d black cod in late October, and</w:t>
      </w:r>
      <w:r w:rsidR="00846E93">
        <w:rPr>
          <w:rFonts w:ascii="Bookman Old Style" w:hAnsi="Bookman Old Style"/>
          <w:snapToGrid/>
          <w:szCs w:val="24"/>
        </w:rPr>
        <w:t xml:space="preserve"> prices were still severely depressed.  </w:t>
      </w:r>
    </w:p>
    <w:p w:rsidR="00846E93" w:rsidRPr="00C035D6" w:rsidRDefault="00846E93" w:rsidP="00E64C4D">
      <w:pPr>
        <w:widowControl/>
        <w:tabs>
          <w:tab w:val="left" w:pos="-1440"/>
          <w:tab w:val="left" w:pos="-720"/>
        </w:tabs>
        <w:rPr>
          <w:rFonts w:ascii="Bookman Old Style" w:hAnsi="Bookman Old Style"/>
          <w:snapToGrid/>
          <w:szCs w:val="24"/>
        </w:rPr>
      </w:pPr>
    </w:p>
    <w:p w:rsidR="00C74902" w:rsidRPr="006F5C64" w:rsidRDefault="00C74902" w:rsidP="00B95782">
      <w:pPr>
        <w:autoSpaceDE w:val="0"/>
        <w:autoSpaceDN w:val="0"/>
        <w:adjustRightInd w:val="0"/>
        <w:jc w:val="center"/>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 means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w:t>
      </w:r>
      <w:r w:rsidRPr="00483DDE">
        <w:rPr>
          <w:rFonts w:ascii="Bookman Old Style" w:hAnsi="Bookman Old Style" w:cs="Times"/>
          <w:color w:val="333333"/>
          <w:szCs w:val="24"/>
        </w:rPr>
        <w:lastRenderedPageBreak/>
        <w:t>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provides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(aa)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(bb)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(ee)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(ff)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(gg)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(hh)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the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(jj)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(kk)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is self-employed, is seeking part-time employment, does not have sufficient work history, or otherwise would not qualify for regular unemployment or extended benefits under State or Federal law or pandemic </w:t>
      </w:r>
      <w:r w:rsidRPr="00483DDE">
        <w:rPr>
          <w:rFonts w:ascii="Bookman Old Style" w:hAnsi="Bookman Old Style" w:cs="Times"/>
          <w:color w:val="333333"/>
          <w:szCs w:val="24"/>
        </w:rPr>
        <w:lastRenderedPageBreak/>
        <w:t>emergency unemployment compensation under section 2107 and meets the requirements of subclause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 does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an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(kk) of subparagraph (A)(i)(I).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483DDE" w:rsidRPr="00926172" w:rsidRDefault="00926172" w:rsidP="00926172">
      <w:pPr>
        <w:shd w:val="clear" w:color="auto" w:fill="FFFFFF"/>
        <w:spacing w:before="100" w:beforeAutospacing="1" w:after="100" w:afterAutospacing="1"/>
        <w:rPr>
          <w:rFonts w:ascii="Bookman Old Style" w:hAnsi="Bookman Old Style" w:cs="Times"/>
          <w:bCs/>
          <w:szCs w:val="24"/>
        </w:rPr>
      </w:pPr>
      <w:r w:rsidRPr="00926172">
        <w:rPr>
          <w:rFonts w:ascii="Bookman Old Style" w:hAnsi="Bookman Old Style"/>
        </w:rPr>
        <w:t xml:space="preserve">Clarification on item (kk) of acceptable COVID-19 related reasons. Section 2102(a)(3)(A)(ii)(I)(kk)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(kk</w:t>
      </w:r>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16206D" w:rsidRDefault="00B95782" w:rsidP="00B95782">
      <w:pPr>
        <w:widowControl/>
        <w:rPr>
          <w:rFonts w:ascii="Bookman Old Style" w:hAnsi="Bookman Old Style"/>
        </w:rPr>
      </w:pPr>
      <w:r>
        <w:rPr>
          <w:rFonts w:ascii="Bookman Old Style" w:hAnsi="Bookman Old Style"/>
        </w:rPr>
        <w:t xml:space="preserve">The CARES Act, Public </w:t>
      </w:r>
      <w:r w:rsidRPr="003D15D3">
        <w:rPr>
          <w:rFonts w:ascii="Bookman Old Style" w:hAnsi="Bookman Old Style"/>
        </w:rPr>
        <w:t>Law 116-136, Title II, Sec. 2102 Pandemic Unemployment Assistance</w:t>
      </w:r>
      <w:r>
        <w:rPr>
          <w:rFonts w:ascii="Bookman Old Style" w:hAnsi="Bookman Old Style"/>
        </w:rPr>
        <w:t xml:space="preserve"> defines a “covered individual” as a person who is not eligible for unemployment benefits under any State of Federal program and who is unemployed because one of a list of reasons related to the COVID-19 pandemic. The claimant in this case has not recently worked in covered employment that would qualify </w:t>
      </w:r>
      <w:r w:rsidR="00846E93">
        <w:rPr>
          <w:rFonts w:ascii="Bookman Old Style" w:hAnsi="Bookman Old Style"/>
          <w:snapToGrid/>
          <w:szCs w:val="24"/>
        </w:rPr>
        <w:t>him</w:t>
      </w:r>
      <w:r>
        <w:rPr>
          <w:rFonts w:ascii="Bookman Old Style" w:hAnsi="Bookman Old Style"/>
        </w:rPr>
        <w:t xml:space="preserve"> for a claim for regular unemployment benefits. </w:t>
      </w:r>
    </w:p>
    <w:p w:rsidR="002812F6" w:rsidRDefault="002812F6" w:rsidP="00B95782">
      <w:pPr>
        <w:widowControl/>
        <w:rPr>
          <w:rFonts w:ascii="Bookman Old Style" w:hAnsi="Bookman Old Style"/>
        </w:rPr>
      </w:pPr>
    </w:p>
    <w:p w:rsidR="002812F6" w:rsidRDefault="002812F6" w:rsidP="00B95782">
      <w:pPr>
        <w:widowControl/>
        <w:rPr>
          <w:rFonts w:ascii="Bookman Old Style" w:hAnsi="Bookman Old Style"/>
        </w:rPr>
      </w:pPr>
      <w:r>
        <w:rPr>
          <w:rFonts w:ascii="Bookman Old Style" w:hAnsi="Bookman Old Style"/>
        </w:rPr>
        <w:t xml:space="preserve">The claimant held that he was affected by the COVID-19 pandemic because he was not hired to work as a skipper for boat owners and also catch his own quota of fish.  The boat owners did not hire the claimant because of their concerns about poor fish prices, which the claimant attributed to the effects of the pandemic on fish processor and restaurant demand.  </w:t>
      </w:r>
    </w:p>
    <w:p w:rsidR="002812F6" w:rsidRDefault="002812F6" w:rsidP="00B95782">
      <w:pPr>
        <w:widowControl/>
        <w:rPr>
          <w:rFonts w:ascii="Bookman Old Style" w:hAnsi="Bookman Old Style"/>
        </w:rPr>
      </w:pPr>
    </w:p>
    <w:p w:rsidR="002812F6" w:rsidRDefault="002812F6" w:rsidP="002812F6">
      <w:pPr>
        <w:pStyle w:val="psection-1"/>
        <w:spacing w:before="150" w:beforeAutospacing="0" w:after="150" w:afterAutospacing="0"/>
        <w:rPr>
          <w:rFonts w:ascii="Bookman Old Style" w:hAnsi="Bookman Old Style"/>
        </w:rPr>
      </w:pPr>
      <w:r>
        <w:rPr>
          <w:rStyle w:val="enumxml"/>
          <w:rFonts w:ascii="Bookman Old Style" w:hAnsi="Bookman Old Style"/>
          <w:bCs/>
        </w:rPr>
        <w:lastRenderedPageBreak/>
        <w:t xml:space="preserve">The U.S. Department of Labor’s </w:t>
      </w:r>
      <w:r w:rsidRPr="00E619FF">
        <w:rPr>
          <w:rStyle w:val="enumxml"/>
          <w:rFonts w:ascii="Bookman Old Style" w:hAnsi="Bookman Old Style"/>
          <w:bCs/>
          <w:u w:val="single"/>
        </w:rPr>
        <w:t>Unemployment Insurance Program Letter 1620, Attachment 1</w:t>
      </w:r>
      <w:r>
        <w:rPr>
          <w:rStyle w:val="enumxml"/>
          <w:rFonts w:ascii="Bookman Old Style" w:hAnsi="Bookman Old Style"/>
          <w:bCs/>
        </w:rPr>
        <w:t xml:space="preserve">, issued April 5, 2020 provides operating instructions for states administering the federal Pandemic Unemployment Assistance program. States are advised that a determination about whether actions are a “direct result” of the COVID-19 pandemic should be made based on 20 C.F.R. 625.5(c), which is a federal regulation for the administration of the federal Disaster Unemployment Assistance program. The regulation reads: </w:t>
      </w:r>
      <w:r w:rsidRPr="0093212D">
        <w:rPr>
          <w:rFonts w:ascii="Bookman Old Style" w:hAnsi="Bookman Old Style"/>
        </w:rPr>
        <w:t xml:space="preserve"> </w:t>
      </w:r>
    </w:p>
    <w:p w:rsidR="002812F6" w:rsidRPr="00E619FF" w:rsidRDefault="002812F6" w:rsidP="002812F6">
      <w:pPr>
        <w:pStyle w:val="psection-1"/>
        <w:spacing w:before="150" w:beforeAutospacing="0" w:after="150" w:afterAutospacing="0"/>
        <w:ind w:left="810"/>
        <w:rPr>
          <w:rFonts w:ascii="Bookman Old Style" w:hAnsi="Bookman Old Style"/>
          <w:bCs/>
          <w:i/>
        </w:rPr>
      </w:pPr>
      <w:r w:rsidRPr="00E619FF">
        <w:rPr>
          <w:rStyle w:val="et03"/>
          <w:rFonts w:ascii="Bookman Old Style" w:hAnsi="Bookman Old Style"/>
          <w:b/>
          <w:bCs/>
          <w:i/>
          <w:iCs/>
        </w:rPr>
        <w:t>Unemployment is a direct result of the major disaster.</w:t>
      </w:r>
      <w:r w:rsidRPr="00E619FF">
        <w:rPr>
          <w:rFonts w:ascii="Bookman Old Style" w:hAnsi="Bookman Old Style"/>
          <w:i/>
        </w:rPr>
        <w:t xml:space="preserve"> For the purposes of paragraphs (a)(1) and (b)(1) of this section, a worker's or </w:t>
      </w:r>
      <w:hyperlink r:id="rId9" w:history="1">
        <w:r w:rsidRPr="00E619FF">
          <w:rPr>
            <w:rStyle w:val="Hyperlink"/>
            <w:rFonts w:ascii="Bookman Old Style" w:hAnsi="Bookman Old Style"/>
            <w:i/>
          </w:rPr>
          <w:t>self-employed individual</w:t>
        </w:r>
      </w:hyperlink>
      <w:r w:rsidRPr="00E619FF">
        <w:rPr>
          <w:rFonts w:ascii="Bookman Old Style" w:hAnsi="Bookman Old Style"/>
          <w:i/>
        </w:rPr>
        <w:t xml:space="preserve">'s unemployment is a direct result of the </w:t>
      </w:r>
      <w:hyperlink r:id="rId10" w:history="1">
        <w:r w:rsidRPr="00E619FF">
          <w:rPr>
            <w:rStyle w:val="Hyperlink"/>
            <w:rFonts w:ascii="Bookman Old Style" w:hAnsi="Bookman Old Style"/>
            <w:i/>
          </w:rPr>
          <w:t>major disaster</w:t>
        </w:r>
      </w:hyperlink>
      <w:r w:rsidRPr="00E619FF">
        <w:rPr>
          <w:rFonts w:ascii="Bookman Old Style" w:hAnsi="Bookman Old Style"/>
          <w:i/>
        </w:rPr>
        <w:t xml:space="preserve"> where the unemployment is an immediate result of the </w:t>
      </w:r>
      <w:hyperlink r:id="rId11" w:history="1">
        <w:r w:rsidRPr="00E619FF">
          <w:rPr>
            <w:rStyle w:val="Hyperlink"/>
            <w:rFonts w:ascii="Bookman Old Style" w:hAnsi="Bookman Old Style"/>
            <w:i/>
          </w:rPr>
          <w:t>major disaster</w:t>
        </w:r>
      </w:hyperlink>
      <w:r w:rsidRPr="00E619FF">
        <w:rPr>
          <w:rFonts w:ascii="Bookman Old Style" w:hAnsi="Bookman Old Style"/>
          <w:i/>
        </w:rPr>
        <w:t xml:space="preserve"> itself, and not the result of a longer chain of events precipitated or exacerbated by the disaster. Such an individual's unemployment is a direct result of the </w:t>
      </w:r>
      <w:hyperlink r:id="rId12" w:history="1">
        <w:r w:rsidRPr="00E619FF">
          <w:rPr>
            <w:rStyle w:val="Hyperlink"/>
            <w:rFonts w:ascii="Bookman Old Style" w:hAnsi="Bookman Old Style"/>
            <w:i/>
          </w:rPr>
          <w:t>major disaster</w:t>
        </w:r>
      </w:hyperlink>
      <w:r w:rsidRPr="00E619FF">
        <w:rPr>
          <w:rFonts w:ascii="Bookman Old Style" w:hAnsi="Bookman Old Style"/>
          <w:i/>
        </w:rPr>
        <w:t xml:space="preserve"> if the unemployment resulted from: </w:t>
      </w:r>
    </w:p>
    <w:p w:rsidR="002812F6" w:rsidRPr="00E619FF" w:rsidRDefault="002812F6" w:rsidP="002812F6">
      <w:pPr>
        <w:pStyle w:val="psection-2"/>
        <w:spacing w:before="0" w:beforeAutospacing="0" w:after="150" w:afterAutospacing="0"/>
        <w:ind w:left="1350"/>
        <w:rPr>
          <w:rFonts w:ascii="Bookman Old Style" w:hAnsi="Bookman Old Style"/>
          <w:i/>
        </w:rPr>
      </w:pPr>
      <w:r w:rsidRPr="00E619FF">
        <w:rPr>
          <w:rStyle w:val="enumxml"/>
          <w:rFonts w:ascii="Bookman Old Style" w:hAnsi="Bookman Old Style"/>
          <w:bCs/>
          <w:i/>
        </w:rPr>
        <w:t>(1)</w:t>
      </w:r>
      <w:r w:rsidRPr="00E619FF">
        <w:rPr>
          <w:rFonts w:ascii="Bookman Old Style" w:hAnsi="Bookman Old Style"/>
          <w:i/>
        </w:rPr>
        <w:t xml:space="preserve"> The physical damage or destruction of the place of employment; </w:t>
      </w:r>
    </w:p>
    <w:p w:rsidR="002812F6" w:rsidRPr="00E619FF" w:rsidRDefault="002812F6" w:rsidP="002812F6">
      <w:pPr>
        <w:pStyle w:val="psection-2"/>
        <w:spacing w:before="0" w:beforeAutospacing="0" w:after="150" w:afterAutospacing="0"/>
        <w:ind w:left="1350"/>
        <w:rPr>
          <w:rFonts w:ascii="Bookman Old Style" w:hAnsi="Bookman Old Style"/>
          <w:i/>
        </w:rPr>
      </w:pPr>
      <w:r w:rsidRPr="00E619FF">
        <w:rPr>
          <w:rStyle w:val="enumxml"/>
          <w:rFonts w:ascii="Bookman Old Style" w:hAnsi="Bookman Old Style"/>
          <w:bCs/>
          <w:i/>
        </w:rPr>
        <w:t>(2)</w:t>
      </w:r>
      <w:r w:rsidRPr="00E619FF">
        <w:rPr>
          <w:rFonts w:ascii="Bookman Old Style" w:hAnsi="Bookman Old Style"/>
          <w:i/>
        </w:rPr>
        <w:t xml:space="preserve"> The physical inaccessibility of the place of employment in the </w:t>
      </w:r>
      <w:hyperlink r:id="rId13" w:history="1">
        <w:r w:rsidRPr="00E619FF">
          <w:rPr>
            <w:rStyle w:val="Hyperlink"/>
            <w:rFonts w:ascii="Bookman Old Style" w:hAnsi="Bookman Old Style"/>
            <w:i/>
          </w:rPr>
          <w:t>major disaster area</w:t>
        </w:r>
      </w:hyperlink>
      <w:r w:rsidRPr="00E619FF">
        <w:rPr>
          <w:rFonts w:ascii="Bookman Old Style" w:hAnsi="Bookman Old Style"/>
          <w:i/>
        </w:rPr>
        <w:t xml:space="preserve"> due to its closure by or at the request of the federal, </w:t>
      </w:r>
      <w:hyperlink r:id="rId14" w:history="1">
        <w:r w:rsidRPr="00E619FF">
          <w:rPr>
            <w:rStyle w:val="Hyperlink"/>
            <w:rFonts w:ascii="Bookman Old Style" w:hAnsi="Bookman Old Style"/>
            <w:i/>
          </w:rPr>
          <w:t>state</w:t>
        </w:r>
      </w:hyperlink>
      <w:r w:rsidRPr="00E619FF">
        <w:rPr>
          <w:rFonts w:ascii="Bookman Old Style" w:hAnsi="Bookman Old Style"/>
          <w:i/>
        </w:rPr>
        <w:t xml:space="preserve"> or local government, in immediate response to the disaster; or </w:t>
      </w:r>
    </w:p>
    <w:p w:rsidR="002812F6" w:rsidRPr="00A77219" w:rsidRDefault="002812F6" w:rsidP="002812F6">
      <w:pPr>
        <w:pStyle w:val="psection-2"/>
        <w:spacing w:before="0" w:beforeAutospacing="0" w:after="150" w:afterAutospacing="0"/>
        <w:ind w:left="1350"/>
        <w:rPr>
          <w:rFonts w:ascii="Bookman Old Style" w:hAnsi="Bookman Old Style"/>
          <w:i/>
        </w:rPr>
      </w:pPr>
      <w:r w:rsidRPr="00E619FF">
        <w:rPr>
          <w:rStyle w:val="enumxml"/>
          <w:rFonts w:ascii="Bookman Old Style" w:hAnsi="Bookman Old Style"/>
          <w:bCs/>
          <w:i/>
        </w:rPr>
        <w:t>(3)</w:t>
      </w:r>
      <w:r w:rsidRPr="00E619FF">
        <w:rPr>
          <w:rFonts w:ascii="Bookman Old Style" w:hAnsi="Bookman Old Style"/>
          <w:i/>
        </w:rPr>
        <w:t xml:space="preserve"> Lack of work, or loss of revenues, provided that, prior to the disaster, the </w:t>
      </w:r>
      <w:hyperlink r:id="rId15" w:history="1">
        <w:r w:rsidRPr="00E619FF">
          <w:rPr>
            <w:rStyle w:val="Hyperlink"/>
            <w:rFonts w:ascii="Bookman Old Style" w:hAnsi="Bookman Old Style"/>
            <w:i/>
          </w:rPr>
          <w:t>employer</w:t>
        </w:r>
      </w:hyperlink>
      <w:r w:rsidRPr="00E619FF">
        <w:rPr>
          <w:rFonts w:ascii="Bookman Old Style" w:hAnsi="Bookman Old Style"/>
          <w:i/>
        </w:rPr>
        <w:t xml:space="preserve">, or the business in the case of a </w:t>
      </w:r>
      <w:hyperlink r:id="rId16" w:history="1">
        <w:r w:rsidRPr="00E619FF">
          <w:rPr>
            <w:rStyle w:val="Hyperlink"/>
            <w:rFonts w:ascii="Bookman Old Style" w:hAnsi="Bookman Old Style"/>
            <w:i/>
          </w:rPr>
          <w:t>self-employed individual</w:t>
        </w:r>
      </w:hyperlink>
      <w:r w:rsidRPr="00E619FF">
        <w:rPr>
          <w:rFonts w:ascii="Bookman Old Style" w:hAnsi="Bookman Old Style"/>
          <w:i/>
        </w:rPr>
        <w:t xml:space="preserve">, received at least a majority of its revenue or </w:t>
      </w:r>
      <w:hyperlink r:id="rId17" w:history="1">
        <w:r w:rsidRPr="00E619FF">
          <w:rPr>
            <w:rStyle w:val="Hyperlink"/>
            <w:rFonts w:ascii="Bookman Old Style" w:hAnsi="Bookman Old Style"/>
            <w:i/>
          </w:rPr>
          <w:t>income</w:t>
        </w:r>
      </w:hyperlink>
      <w:r w:rsidRPr="00E619FF">
        <w:rPr>
          <w:rFonts w:ascii="Bookman Old Style" w:hAnsi="Bookman Old Style"/>
          <w:i/>
        </w:rPr>
        <w:t xml:space="preserve"> from an entity in the </w:t>
      </w:r>
      <w:hyperlink r:id="rId18" w:history="1">
        <w:r w:rsidRPr="00E619FF">
          <w:rPr>
            <w:rStyle w:val="Hyperlink"/>
            <w:rFonts w:ascii="Bookman Old Style" w:hAnsi="Bookman Old Style"/>
            <w:i/>
          </w:rPr>
          <w:t>major disaster area</w:t>
        </w:r>
      </w:hyperlink>
      <w:r w:rsidRPr="00E619FF">
        <w:rPr>
          <w:rFonts w:ascii="Bookman Old Style" w:hAnsi="Bookman Old Style"/>
          <w:i/>
        </w:rPr>
        <w:t xml:space="preserve"> that was either damaged or destroyed in the disaster, or an entity in the </w:t>
      </w:r>
      <w:hyperlink r:id="rId19" w:history="1">
        <w:r w:rsidRPr="00E619FF">
          <w:rPr>
            <w:rStyle w:val="Hyperlink"/>
            <w:rFonts w:ascii="Bookman Old Style" w:hAnsi="Bookman Old Style"/>
            <w:i/>
          </w:rPr>
          <w:t>major disaster area</w:t>
        </w:r>
      </w:hyperlink>
      <w:r w:rsidRPr="00E619FF">
        <w:rPr>
          <w:rFonts w:ascii="Bookman Old Style" w:hAnsi="Bookman Old Style"/>
          <w:i/>
        </w:rPr>
        <w:t xml:space="preserve"> closed by the federal, </w:t>
      </w:r>
      <w:hyperlink r:id="rId20" w:history="1">
        <w:r w:rsidRPr="00E619FF">
          <w:rPr>
            <w:rStyle w:val="Hyperlink"/>
            <w:rFonts w:ascii="Bookman Old Style" w:hAnsi="Bookman Old Style"/>
            <w:i/>
          </w:rPr>
          <w:t>state</w:t>
        </w:r>
      </w:hyperlink>
      <w:r w:rsidRPr="00E619FF">
        <w:rPr>
          <w:rFonts w:ascii="Bookman Old Style" w:hAnsi="Bookman Old Style"/>
          <w:i/>
        </w:rPr>
        <w:t xml:space="preserve"> or local government in immediate response to the disaster. </w:t>
      </w:r>
    </w:p>
    <w:p w:rsidR="00591160" w:rsidRDefault="00591160" w:rsidP="00B95782">
      <w:pPr>
        <w:widowControl/>
        <w:rPr>
          <w:rFonts w:ascii="Bookman Old Style" w:hAnsi="Bookman Old Style"/>
        </w:rPr>
      </w:pPr>
      <w:r>
        <w:rPr>
          <w:rFonts w:ascii="Bookman Old Style" w:hAnsi="Bookman Old Style"/>
        </w:rPr>
        <w:t>The claimant has not established that he was unable to work as a direct result of the COVID-19 pandemic. He</w:t>
      </w:r>
      <w:r w:rsidR="002812F6">
        <w:rPr>
          <w:rFonts w:ascii="Bookman Old Style" w:hAnsi="Bookman Old Style"/>
        </w:rPr>
        <w:t xml:space="preserve"> was not prevented from fishing by government mandates or by medical advice</w:t>
      </w:r>
      <w:r>
        <w:rPr>
          <w:rFonts w:ascii="Bookman Old Style" w:hAnsi="Bookman Old Style"/>
        </w:rPr>
        <w:t xml:space="preserve"> or quarantine</w:t>
      </w:r>
      <w:r w:rsidR="002812F6">
        <w:rPr>
          <w:rFonts w:ascii="Bookman Old Style" w:hAnsi="Bookman Old Style"/>
        </w:rPr>
        <w:t xml:space="preserve">.  </w:t>
      </w:r>
      <w:r w:rsidR="00645DC5">
        <w:rPr>
          <w:rFonts w:ascii="Bookman Old Style" w:hAnsi="Bookman Old Style"/>
        </w:rPr>
        <w:t xml:space="preserve">The claimant speculated that </w:t>
      </w:r>
      <w:r w:rsidR="00D27934">
        <w:rPr>
          <w:rFonts w:ascii="Bookman Old Style" w:hAnsi="Bookman Old Style"/>
        </w:rPr>
        <w:t xml:space="preserve">he was not able to fish March-April 2020 because </w:t>
      </w:r>
      <w:r w:rsidR="00645DC5">
        <w:rPr>
          <w:rFonts w:ascii="Bookman Old Style" w:hAnsi="Bookman Old Style"/>
        </w:rPr>
        <w:t xml:space="preserve">fish prices were low because of the COVID-19 pandemic, </w:t>
      </w:r>
      <w:r w:rsidR="0038440D">
        <w:rPr>
          <w:rFonts w:ascii="Bookman Old Style" w:hAnsi="Bookman Old Style"/>
        </w:rPr>
        <w:t xml:space="preserve">but this is result of a longer chain of events precipitated by the pandemic and his unemployment is not a direct result of the pandemic.  </w:t>
      </w:r>
      <w:r w:rsidR="005C7707">
        <w:rPr>
          <w:rFonts w:ascii="Bookman Old Style" w:hAnsi="Bookman Old Style"/>
        </w:rPr>
        <w:t xml:space="preserve">Fish prices were low in 2019, and the price fluctuation is dependent on many factors. </w:t>
      </w:r>
      <w:r w:rsidR="0038440D">
        <w:rPr>
          <w:rFonts w:ascii="Bookman Old Style" w:hAnsi="Bookman Old Style"/>
        </w:rPr>
        <w:t xml:space="preserve">The claimant fished </w:t>
      </w:r>
      <w:r>
        <w:rPr>
          <w:rFonts w:ascii="Bookman Old Style" w:hAnsi="Bookman Old Style"/>
        </w:rPr>
        <w:t xml:space="preserve">for halibut and black cod in October 2020 despite prices remaining low.  </w:t>
      </w:r>
    </w:p>
    <w:p w:rsidR="00591160" w:rsidRDefault="00591160" w:rsidP="00B95782">
      <w:pPr>
        <w:widowControl/>
        <w:rPr>
          <w:rFonts w:ascii="Bookman Old Style" w:hAnsi="Bookman Old Style"/>
        </w:rPr>
      </w:pPr>
    </w:p>
    <w:p w:rsidR="00591160" w:rsidRPr="00E1431E" w:rsidRDefault="00591160" w:rsidP="00B95782">
      <w:pPr>
        <w:widowControl/>
        <w:rPr>
          <w:rFonts w:ascii="Bookman Old Style" w:hAnsi="Bookman Old Style"/>
        </w:rPr>
      </w:pPr>
      <w:r>
        <w:rPr>
          <w:rFonts w:ascii="Bookman Old Style" w:hAnsi="Bookman Old Style"/>
        </w:rPr>
        <w:t>The Tribunal concludes the claimant does not meet the definition of a covered individual for the purposes of Pandemic Unemployment Assistance under the CARES Act.</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lastRenderedPageBreak/>
        <w:t xml:space="preserve">The determination issued on </w:t>
      </w:r>
      <w:r w:rsidR="00591160">
        <w:rPr>
          <w:rFonts w:ascii="Bookman Old Style" w:hAnsi="Bookman Old Style"/>
          <w:snapToGrid/>
          <w:szCs w:val="24"/>
        </w:rPr>
        <w:t>August 12, 2020</w:t>
      </w:r>
      <w:r w:rsidRPr="003F54EA">
        <w:rPr>
          <w:rFonts w:ascii="Bookman Old Style" w:hAnsi="Bookman Old Style"/>
          <w:snapToGrid/>
          <w:szCs w:val="24"/>
        </w:rPr>
        <w:t xml:space="preserve"> is </w:t>
      </w:r>
      <w:r w:rsidR="00591160">
        <w:rPr>
          <w:rFonts w:ascii="Bookman Old Style" w:hAnsi="Bookman Old Style"/>
          <w:b/>
          <w:snapToGrid/>
          <w:szCs w:val="24"/>
        </w:rPr>
        <w:t>AFFIRMED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591160">
        <w:rPr>
          <w:rFonts w:ascii="Bookman Old Style" w:hAnsi="Bookman Old Style"/>
        </w:rPr>
        <w:t>is not</w:t>
      </w:r>
      <w:r w:rsidR="00483DDE">
        <w:rPr>
          <w:rFonts w:ascii="Bookman Old Style" w:hAnsi="Bookman Old Style"/>
          <w:snapToGrid/>
          <w:szCs w:val="24"/>
        </w:rPr>
        <w:t xml:space="preserve"> eligible for benefits from the Pandemic Unemployment Assistance (PUA) program.</w:t>
      </w:r>
    </w:p>
    <w:p w:rsidR="0016206D" w:rsidRDefault="0016206D">
      <w:pPr>
        <w:tabs>
          <w:tab w:val="left" w:pos="-1440"/>
          <w:tab w:val="left" w:pos="-720"/>
        </w:tabs>
        <w:suppressAutoHyphens/>
        <w:ind w:right="-360"/>
        <w:rPr>
          <w:rFonts w:ascii="Bookman Old Style" w:hAnsi="Bookman Old Style"/>
        </w:rPr>
      </w:pPr>
    </w:p>
    <w:p w:rsidR="00591160" w:rsidRPr="00E1431E" w:rsidRDefault="00591160">
      <w:pPr>
        <w:tabs>
          <w:tab w:val="left" w:pos="-1440"/>
          <w:tab w:val="left" w:pos="-720"/>
        </w:tabs>
        <w:suppressAutoHyphens/>
        <w:ind w:right="-360"/>
        <w:rPr>
          <w:rFonts w:ascii="Bookman Old Style" w:hAnsi="Bookman Old Style"/>
        </w:rPr>
      </w:pPr>
    </w:p>
    <w:p w:rsidR="001E0872" w:rsidRDefault="0016206D" w:rsidP="00591160">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591160">
        <w:rPr>
          <w:rFonts w:ascii="Bookman Old Style" w:hAnsi="Bookman Old Style"/>
          <w:szCs w:val="24"/>
        </w:rPr>
        <w:t>November 30, 2020</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591160">
        <w:rPr>
          <w:rFonts w:ascii="Bookman Old Style" w:hAnsi="Bookman Old Style"/>
          <w:szCs w:val="24"/>
        </w:rPr>
        <w:t>Rhonda Buness</w:t>
      </w:r>
      <w:r w:rsidRPr="00D82DF6">
        <w:rPr>
          <w:rFonts w:ascii="Bookman Old Style" w:hAnsi="Bookman Old Style"/>
          <w:szCs w:val="24"/>
        </w:rPr>
        <w:t xml:space="preserve">, </w:t>
      </w:r>
      <w:r>
        <w:rPr>
          <w:rFonts w:ascii="Bookman Old Style" w:hAnsi="Bookman Old Style"/>
          <w:szCs w:val="24"/>
        </w:rPr>
        <w:t>Appeals</w:t>
      </w:r>
      <w:r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1EC" w:rsidRDefault="00F261EC">
      <w:pPr>
        <w:widowControl/>
        <w:spacing w:line="20" w:lineRule="exact"/>
      </w:pPr>
    </w:p>
  </w:endnote>
  <w:endnote w:type="continuationSeparator" w:id="0">
    <w:p w:rsidR="00F261EC" w:rsidRDefault="00F261EC">
      <w:r>
        <w:t xml:space="preserve"> </w:t>
      </w:r>
    </w:p>
  </w:endnote>
  <w:endnote w:type="continuationNotice" w:id="1">
    <w:p w:rsidR="00F261EC" w:rsidRDefault="00F261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E93" w:rsidRDefault="00846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E93" w:rsidRDefault="00846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E93" w:rsidRDefault="00846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1EC" w:rsidRDefault="00F261EC">
      <w:r>
        <w:separator/>
      </w:r>
    </w:p>
  </w:footnote>
  <w:footnote w:type="continuationSeparator" w:id="0">
    <w:p w:rsidR="00F261EC" w:rsidRDefault="00F2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E93" w:rsidRDefault="00846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382382">
      <w:rPr>
        <w:rFonts w:ascii="Bookman Old Style" w:hAnsi="Bookman Old Style"/>
        <w:sz w:val="22"/>
      </w:rPr>
      <w:t>P20 119</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EA35F1">
      <w:rPr>
        <w:rStyle w:val="PageNumber"/>
        <w:rFonts w:ascii="Bookman Old Style" w:hAnsi="Bookman Old Style"/>
        <w:noProof/>
        <w:sz w:val="22"/>
      </w:rPr>
      <w:t>6</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E93" w:rsidRDefault="00846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EC"/>
    <w:rsid w:val="00015E49"/>
    <w:rsid w:val="00074ABC"/>
    <w:rsid w:val="000B1B0E"/>
    <w:rsid w:val="000C468C"/>
    <w:rsid w:val="0016206D"/>
    <w:rsid w:val="00184E40"/>
    <w:rsid w:val="001E0352"/>
    <w:rsid w:val="001E0872"/>
    <w:rsid w:val="001F25F2"/>
    <w:rsid w:val="00220C00"/>
    <w:rsid w:val="0023506F"/>
    <w:rsid w:val="00246F0A"/>
    <w:rsid w:val="002604BE"/>
    <w:rsid w:val="00261254"/>
    <w:rsid w:val="00266979"/>
    <w:rsid w:val="002812F6"/>
    <w:rsid w:val="00290A95"/>
    <w:rsid w:val="0029387F"/>
    <w:rsid w:val="002C3038"/>
    <w:rsid w:val="00301A4C"/>
    <w:rsid w:val="00307513"/>
    <w:rsid w:val="0030752B"/>
    <w:rsid w:val="00314A4A"/>
    <w:rsid w:val="003340A2"/>
    <w:rsid w:val="00335286"/>
    <w:rsid w:val="0034160B"/>
    <w:rsid w:val="00360CCE"/>
    <w:rsid w:val="0037410D"/>
    <w:rsid w:val="00382382"/>
    <w:rsid w:val="0038440D"/>
    <w:rsid w:val="00395ECA"/>
    <w:rsid w:val="003A08AE"/>
    <w:rsid w:val="003A0E29"/>
    <w:rsid w:val="003C3EA6"/>
    <w:rsid w:val="003E333B"/>
    <w:rsid w:val="003F54EA"/>
    <w:rsid w:val="004134B5"/>
    <w:rsid w:val="00414E35"/>
    <w:rsid w:val="00440F6D"/>
    <w:rsid w:val="00454952"/>
    <w:rsid w:val="00477B3C"/>
    <w:rsid w:val="00483DDE"/>
    <w:rsid w:val="005840C2"/>
    <w:rsid w:val="00591160"/>
    <w:rsid w:val="005A25FF"/>
    <w:rsid w:val="005B7C8E"/>
    <w:rsid w:val="005C7707"/>
    <w:rsid w:val="005D69D2"/>
    <w:rsid w:val="005E68FF"/>
    <w:rsid w:val="00645DC5"/>
    <w:rsid w:val="006B044C"/>
    <w:rsid w:val="006B6284"/>
    <w:rsid w:val="006C6858"/>
    <w:rsid w:val="006E42A3"/>
    <w:rsid w:val="006E4A6A"/>
    <w:rsid w:val="006E5123"/>
    <w:rsid w:val="006E67C4"/>
    <w:rsid w:val="006F5C64"/>
    <w:rsid w:val="007264A1"/>
    <w:rsid w:val="00781D4B"/>
    <w:rsid w:val="00803703"/>
    <w:rsid w:val="00845F5C"/>
    <w:rsid w:val="00846E93"/>
    <w:rsid w:val="0089544B"/>
    <w:rsid w:val="008B5144"/>
    <w:rsid w:val="008C7255"/>
    <w:rsid w:val="008C7BCB"/>
    <w:rsid w:val="00911751"/>
    <w:rsid w:val="00926172"/>
    <w:rsid w:val="009312D8"/>
    <w:rsid w:val="00965B24"/>
    <w:rsid w:val="0099558B"/>
    <w:rsid w:val="009B3837"/>
    <w:rsid w:val="009E7193"/>
    <w:rsid w:val="00A94C46"/>
    <w:rsid w:val="00AC29BB"/>
    <w:rsid w:val="00AC4900"/>
    <w:rsid w:val="00B14588"/>
    <w:rsid w:val="00B879FC"/>
    <w:rsid w:val="00B95782"/>
    <w:rsid w:val="00BE5A90"/>
    <w:rsid w:val="00BF0040"/>
    <w:rsid w:val="00BF1D42"/>
    <w:rsid w:val="00C1740A"/>
    <w:rsid w:val="00C5117C"/>
    <w:rsid w:val="00C5371D"/>
    <w:rsid w:val="00C74902"/>
    <w:rsid w:val="00C841ED"/>
    <w:rsid w:val="00CB34CC"/>
    <w:rsid w:val="00D127A1"/>
    <w:rsid w:val="00D1304C"/>
    <w:rsid w:val="00D2605C"/>
    <w:rsid w:val="00D26C62"/>
    <w:rsid w:val="00D27934"/>
    <w:rsid w:val="00D27A56"/>
    <w:rsid w:val="00D50F53"/>
    <w:rsid w:val="00D77780"/>
    <w:rsid w:val="00DA110F"/>
    <w:rsid w:val="00DE12B1"/>
    <w:rsid w:val="00DF6AEB"/>
    <w:rsid w:val="00E1431E"/>
    <w:rsid w:val="00E1587B"/>
    <w:rsid w:val="00E20135"/>
    <w:rsid w:val="00E231DF"/>
    <w:rsid w:val="00E32235"/>
    <w:rsid w:val="00E460EE"/>
    <w:rsid w:val="00E64C4D"/>
    <w:rsid w:val="00EA35F1"/>
    <w:rsid w:val="00EB1300"/>
    <w:rsid w:val="00ED08F3"/>
    <w:rsid w:val="00EE536D"/>
    <w:rsid w:val="00EF0CCE"/>
    <w:rsid w:val="00EF3FC3"/>
    <w:rsid w:val="00F00EDF"/>
    <w:rsid w:val="00F261EC"/>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932CF1"/>
  <w15:chartTrackingRefBased/>
  <w15:docId w15:val="{4226ADEF-B76A-4C0E-82CD-E1857C42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 w:type="paragraph" w:customStyle="1" w:styleId="psection-1">
    <w:name w:val="psection-1"/>
    <w:basedOn w:val="Normal"/>
    <w:rsid w:val="002812F6"/>
    <w:pPr>
      <w:widowControl/>
      <w:spacing w:before="100" w:beforeAutospacing="1" w:after="100" w:afterAutospacing="1"/>
    </w:pPr>
    <w:rPr>
      <w:rFonts w:ascii="Times New Roman" w:hAnsi="Times New Roman"/>
      <w:snapToGrid/>
      <w:szCs w:val="24"/>
    </w:rPr>
  </w:style>
  <w:style w:type="character" w:customStyle="1" w:styleId="enumxml">
    <w:name w:val="enumxml"/>
    <w:rsid w:val="002812F6"/>
  </w:style>
  <w:style w:type="character" w:customStyle="1" w:styleId="et03">
    <w:name w:val="et03"/>
    <w:rsid w:val="002812F6"/>
  </w:style>
  <w:style w:type="character" w:styleId="Hyperlink">
    <w:name w:val="Hyperlink"/>
    <w:uiPriority w:val="99"/>
    <w:semiHidden/>
    <w:unhideWhenUsed/>
    <w:rsid w:val="002812F6"/>
    <w:rPr>
      <w:color w:val="0000FF"/>
      <w:u w:val="single"/>
    </w:rPr>
  </w:style>
  <w:style w:type="paragraph" w:customStyle="1" w:styleId="psection-2">
    <w:name w:val="psection-2"/>
    <w:basedOn w:val="Normal"/>
    <w:rsid w:val="002812F6"/>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w.cornell.edu/definitions/index.php?width=840&amp;height=800&amp;iframe=true&amp;def_id=2c12dc9894d26f5e200be47e40f6af03&amp;term_occur=999&amp;term_src=Title:20:Chapter:V:Part:625:625.5" TargetMode="External"/><Relationship Id="rId18" Type="http://schemas.openxmlformats.org/officeDocument/2006/relationships/hyperlink" Target="https://www.law.cornell.edu/definitions/index.php?width=840&amp;height=800&amp;iframe=true&amp;def_id=2c12dc9894d26f5e200be47e40f6af03&amp;term_occur=999&amp;term_src=Title:20:Chapter:V:Part:625:625.5"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b3d72d28b6503871d0d0ea61efe37614&amp;term_occur=999&amp;term_src=Title:20:Chapter:V:Part:625:625.5" TargetMode="External"/><Relationship Id="rId17" Type="http://schemas.openxmlformats.org/officeDocument/2006/relationships/hyperlink" Target="https://www.law.cornell.edu/definitions/index.php?width=840&amp;height=800&amp;iframe=true&amp;def_id=2095af3d2644c5f6854561b880c52969&amp;term_occur=999&amp;term_src=Title:20:Chapter:V:Part:625:625.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95f1ef42847b6e406cad25b8f1f66177&amp;term_occur=999&amp;term_src=Title:20:Chapter:V:Part:625:625.5" TargetMode="External"/><Relationship Id="rId20" Type="http://schemas.openxmlformats.org/officeDocument/2006/relationships/hyperlink" Target="https://www.law.cornell.edu/definitions/index.php?width=840&amp;height=800&amp;iframe=true&amp;def_id=667759d9b94d630ff8d099d7fd7d76b5&amp;term_occur=999&amp;term_src=Title:20:Chapter:V:Part:625:6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b3d72d28b6503871d0d0ea61efe37614&amp;term_occur=999&amp;term_src=Title:20:Chapter:V:Part:625:625.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f5fa1bd336151038ef33802286d066eb&amp;term_occur=999&amp;term_src=Title:20:Chapter:V:Part:625:625.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law.cornell.edu/definitions/index.php?width=840&amp;height=800&amp;iframe=true&amp;def_id=b3d72d28b6503871d0d0ea61efe37614&amp;term_occur=999&amp;term_src=Title:20:Chapter:V:Part:625:625.5" TargetMode="External"/><Relationship Id="rId19" Type="http://schemas.openxmlformats.org/officeDocument/2006/relationships/hyperlink" Target="https://www.law.cornell.edu/definitions/index.php?width=840&amp;height=800&amp;iframe=true&amp;def_id=2c12dc9894d26f5e200be47e40f6af03&amp;term_occur=999&amp;term_src=Title:20:Chapter:V:Part:625:625.5" TargetMode="Externa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95f1ef42847b6e406cad25b8f1f66177&amp;term_occur=999&amp;term_src=Title:20:Chapter:V:Part:625:625.5" TargetMode="External"/><Relationship Id="rId14" Type="http://schemas.openxmlformats.org/officeDocument/2006/relationships/hyperlink" Target="https://www.law.cornell.edu/definitions/index.php?width=840&amp;height=800&amp;iframe=true&amp;def_id=667759d9b94d630ff8d099d7fd7d76b5&amp;term_occur=999&amp;term_src=Title:20:Chapter:V:Part:625:625.5"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D86B7-E4E6-4201-B116-84D7F2BF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Template>
  <TotalTime>1</TotalTime>
  <Pages>6</Pages>
  <Words>2309</Words>
  <Characters>11895</Characters>
  <Application>Microsoft Office Word</Application>
  <DocSecurity>0</DocSecurity>
  <Lines>270</Lines>
  <Paragraphs>84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2020-11-30T18:21:00Z</dcterms:created>
  <dcterms:modified xsi:type="dcterms:W3CDTF">2020-11-30T18:21:00Z</dcterms:modified>
</cp:coreProperties>
</file>