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CB33D1"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4"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2505C4">
        <w:rPr>
          <w:rFonts w:ascii="Bookman Old Style" w:hAnsi="Bookman Old Style"/>
          <w:szCs w:val="24"/>
        </w:rPr>
        <w:t>20 1205</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2505C4">
        <w:rPr>
          <w:rFonts w:ascii="Bookman Old Style" w:hAnsi="Bookman Old Style"/>
          <w:szCs w:val="24"/>
        </w:rPr>
        <w:t>September 10,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2505C4" w:rsidRPr="002505C4" w:rsidRDefault="002505C4" w:rsidP="002505C4">
      <w:pPr>
        <w:widowControl/>
        <w:tabs>
          <w:tab w:val="left" w:pos="-1440"/>
          <w:tab w:val="left" w:pos="-720"/>
          <w:tab w:val="left" w:pos="0"/>
          <w:tab w:val="left" w:pos="5760"/>
        </w:tabs>
        <w:suppressAutoHyphens/>
        <w:ind w:right="-360"/>
        <w:rPr>
          <w:rFonts w:ascii="Bookman Old Style" w:hAnsi="Bookman Old Style"/>
          <w:szCs w:val="24"/>
        </w:rPr>
      </w:pPr>
      <w:r w:rsidRPr="002505C4">
        <w:rPr>
          <w:rFonts w:ascii="Bookman Old Style" w:hAnsi="Bookman Old Style"/>
          <w:szCs w:val="24"/>
        </w:rPr>
        <w:t>ADAM JONES</w:t>
      </w:r>
      <w:r>
        <w:rPr>
          <w:rFonts w:ascii="Bookman Old Style" w:hAnsi="Bookman Old Style"/>
          <w:szCs w:val="24"/>
        </w:rPr>
        <w:tab/>
      </w:r>
      <w:r w:rsidRPr="002505C4">
        <w:rPr>
          <w:rFonts w:ascii="Bookman Old Style" w:hAnsi="Bookman Old Style"/>
          <w:szCs w:val="24"/>
        </w:rPr>
        <w:t>BPS ENTERPRISES LLC</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D70EEC" w:rsidRDefault="00D70EEC" w:rsidP="00D82DF6">
      <w:pPr>
        <w:widowControl/>
        <w:tabs>
          <w:tab w:val="left" w:pos="-1440"/>
          <w:tab w:val="left" w:pos="-720"/>
          <w:tab w:val="left" w:pos="0"/>
          <w:tab w:val="left" w:pos="5760"/>
        </w:tabs>
        <w:suppressAutoHyphens/>
        <w:ind w:right="-360"/>
        <w:rPr>
          <w:rFonts w:ascii="Bookman Old Style" w:hAnsi="Bookman Old Style"/>
          <w:szCs w:val="24"/>
        </w:rPr>
      </w:pPr>
    </w:p>
    <w:p w:rsidR="00D70EEC" w:rsidRPr="00D82DF6" w:rsidRDefault="00D70EEC"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2505C4"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Adam Jones</w:t>
      </w:r>
      <w:r w:rsidR="00441439" w:rsidRPr="00D82DF6">
        <w:rPr>
          <w:rFonts w:ascii="Bookman Old Style" w:hAnsi="Bookman Old Style"/>
          <w:szCs w:val="24"/>
        </w:rPr>
        <w:tab/>
      </w:r>
      <w:r>
        <w:rPr>
          <w:rFonts w:ascii="Bookman Old Style" w:hAnsi="Bookman Old Style"/>
          <w:szCs w:val="24"/>
        </w:rPr>
        <w:t>None</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2505C4">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2505C4">
        <w:rPr>
          <w:rFonts w:ascii="Bookman Old Style" w:hAnsi="Bookman Old Style"/>
          <w:snapToGrid/>
          <w:szCs w:val="24"/>
        </w:rPr>
        <w:t>July 29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tabs>
          <w:tab w:val="left" w:pos="-1440"/>
          <w:tab w:val="left" w:pos="-720"/>
        </w:tabs>
        <w:spacing w:after="200"/>
        <w:rPr>
          <w:rFonts w:ascii="Bookman Old Style" w:hAnsi="Bookman Old Style"/>
          <w:snapToGrid/>
          <w:szCs w:val="24"/>
        </w:rPr>
      </w:pPr>
      <w:r w:rsidRPr="00D82DF6">
        <w:rPr>
          <w:rFonts w:ascii="Bookman Old Style" w:hAnsi="Bookman Old Style"/>
          <w:snapToGrid/>
          <w:szCs w:val="24"/>
        </w:rPr>
        <w:t xml:space="preserve">The claimant established a claim for unemployment insurance benefits effective </w:t>
      </w:r>
      <w:r w:rsidR="002505C4">
        <w:rPr>
          <w:rFonts w:ascii="Bookman Old Style" w:hAnsi="Bookman Old Style"/>
          <w:snapToGrid/>
          <w:szCs w:val="24"/>
        </w:rPr>
        <w:t>June 9, 2020</w:t>
      </w:r>
      <w:r w:rsidRPr="00D82DF6">
        <w:rPr>
          <w:rFonts w:ascii="Bookman Old Style" w:hAnsi="Bookman Old Style"/>
          <w:snapToGrid/>
          <w:szCs w:val="24"/>
        </w:rPr>
        <w:t>.</w:t>
      </w:r>
      <w:r w:rsidR="002505C4">
        <w:rPr>
          <w:rFonts w:ascii="Bookman Old Style" w:hAnsi="Bookman Old Style"/>
          <w:snapToGrid/>
          <w:szCs w:val="24"/>
        </w:rPr>
        <w:t xml:space="preserve"> </w:t>
      </w:r>
      <w:r w:rsidRPr="00D82DF6">
        <w:rPr>
          <w:rFonts w:ascii="Bookman Old Style" w:hAnsi="Bookman Old Style"/>
          <w:snapToGrid/>
          <w:szCs w:val="24"/>
        </w:rPr>
        <w:t xml:space="preserve"> </w:t>
      </w: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2505C4">
        <w:rPr>
          <w:rFonts w:ascii="Bookman Old Style" w:hAnsi="Bookman Old Style"/>
          <w:snapToGrid/>
          <w:szCs w:val="24"/>
        </w:rPr>
        <w:t>in January or February 2020</w:t>
      </w:r>
      <w:r w:rsidRPr="00D82DF6">
        <w:rPr>
          <w:rFonts w:ascii="Bookman Old Style" w:hAnsi="Bookman Old Style"/>
          <w:snapToGrid/>
          <w:szCs w:val="24"/>
        </w:rPr>
        <w:t>.</w:t>
      </w:r>
      <w:r w:rsidR="002505C4">
        <w:rPr>
          <w:rFonts w:ascii="Bookman Old Style" w:hAnsi="Bookman Old Style"/>
          <w:snapToGrid/>
          <w:szCs w:val="24"/>
        </w:rPr>
        <w:t xml:space="preserve"> He l</w:t>
      </w:r>
      <w:r w:rsidRPr="00D82DF6">
        <w:rPr>
          <w:rFonts w:ascii="Bookman Old Style" w:hAnsi="Bookman Old Style"/>
          <w:snapToGrid/>
          <w:szCs w:val="24"/>
        </w:rPr>
        <w:t xml:space="preserve">ast worked </w:t>
      </w:r>
      <w:r w:rsidR="002505C4">
        <w:rPr>
          <w:rFonts w:ascii="Bookman Old Style" w:hAnsi="Bookman Old Style"/>
          <w:snapToGrid/>
          <w:szCs w:val="24"/>
        </w:rPr>
        <w:t>in March 2020</w:t>
      </w:r>
      <w:r w:rsidRPr="00D82DF6">
        <w:rPr>
          <w:rFonts w:ascii="Bookman Old Style" w:hAnsi="Bookman Old Style"/>
          <w:snapToGrid/>
          <w:szCs w:val="24"/>
        </w:rPr>
        <w:t xml:space="preserve">. At that time, </w:t>
      </w:r>
      <w:r w:rsidR="002505C4">
        <w:rPr>
          <w:rFonts w:ascii="Bookman Old Style" w:hAnsi="Bookman Old Style"/>
          <w:snapToGrid/>
          <w:szCs w:val="24"/>
        </w:rPr>
        <w:t>he</w:t>
      </w:r>
      <w:r w:rsidRPr="00D82DF6">
        <w:rPr>
          <w:rFonts w:ascii="Bookman Old Style" w:hAnsi="Bookman Old Style"/>
          <w:snapToGrid/>
          <w:szCs w:val="24"/>
        </w:rPr>
        <w:t xml:space="preserve"> worked </w:t>
      </w:r>
      <w:r w:rsidR="002505C4">
        <w:rPr>
          <w:rFonts w:ascii="Bookman Old Style" w:hAnsi="Bookman Old Style"/>
          <w:snapToGrid/>
          <w:szCs w:val="24"/>
        </w:rPr>
        <w:t>full time</w:t>
      </w:r>
      <w:r w:rsidRPr="00D82DF6">
        <w:rPr>
          <w:rFonts w:ascii="Bookman Old Style" w:hAnsi="Bookman Old Style"/>
          <w:snapToGrid/>
          <w:szCs w:val="24"/>
        </w:rPr>
        <w:t xml:space="preserve"> as a </w:t>
      </w:r>
      <w:r w:rsidR="002505C4">
        <w:rPr>
          <w:rFonts w:ascii="Bookman Old Style" w:hAnsi="Bookman Old Style"/>
          <w:snapToGrid/>
          <w:szCs w:val="24"/>
        </w:rPr>
        <w:t>cook and deli clerk</w:t>
      </w:r>
      <w:r w:rsidRPr="00D82DF6">
        <w:rPr>
          <w:rFonts w:ascii="Bookman Old Style" w:hAnsi="Bookman Old Style"/>
          <w:snapToGrid/>
          <w:szCs w:val="24"/>
        </w:rPr>
        <w:t>.</w:t>
      </w:r>
    </w:p>
    <w:p w:rsidR="002505C4" w:rsidRDefault="002505C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laid off in March 2020 because the employer’s business was affected by the COVID-19 pandemic.  The claimant was told he may be called back </w:t>
      </w:r>
      <w:proofErr w:type="gramStart"/>
      <w:r>
        <w:rPr>
          <w:rFonts w:ascii="Bookman Old Style" w:hAnsi="Bookman Old Style"/>
          <w:snapToGrid/>
          <w:szCs w:val="24"/>
        </w:rPr>
        <w:t>to</w:t>
      </w:r>
      <w:proofErr w:type="gramEnd"/>
      <w:r>
        <w:rPr>
          <w:rFonts w:ascii="Bookman Old Style" w:hAnsi="Bookman Old Style"/>
          <w:snapToGrid/>
          <w:szCs w:val="24"/>
        </w:rPr>
        <w:t xml:space="preserve"> work, but no </w:t>
      </w:r>
      <w:r w:rsidR="00FF5923">
        <w:rPr>
          <w:rFonts w:ascii="Bookman Old Style" w:hAnsi="Bookman Old Style"/>
          <w:snapToGrid/>
          <w:szCs w:val="24"/>
        </w:rPr>
        <w:t xml:space="preserve">return </w:t>
      </w:r>
      <w:r>
        <w:rPr>
          <w:rFonts w:ascii="Bookman Old Style" w:hAnsi="Bookman Old Style"/>
          <w:snapToGrid/>
          <w:szCs w:val="24"/>
        </w:rPr>
        <w:t xml:space="preserve">date </w:t>
      </w:r>
      <w:r w:rsidR="00FF5923">
        <w:rPr>
          <w:rFonts w:ascii="Bookman Old Style" w:hAnsi="Bookman Old Style"/>
          <w:snapToGrid/>
          <w:szCs w:val="24"/>
        </w:rPr>
        <w:t xml:space="preserve">was </w:t>
      </w:r>
      <w:r>
        <w:rPr>
          <w:rFonts w:ascii="Bookman Old Style" w:hAnsi="Bookman Old Style"/>
          <w:snapToGrid/>
          <w:szCs w:val="24"/>
        </w:rPr>
        <w:t>provided.</w:t>
      </w:r>
    </w:p>
    <w:p w:rsidR="00FF5923" w:rsidRDefault="00FF592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At the time his work ended, the claimant was living in a shelter in Anchorage.  The shelter was closing and moving residents to another location.  The claimant was not sure if there would be room for him at the new shelter location. A friend offered that the claimant could stay at their home in Wasilla, so the claimant relocated. </w:t>
      </w:r>
    </w:p>
    <w:p w:rsidR="00D82DF6" w:rsidRPr="00D82DF6" w:rsidRDefault="00FF592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April 23, 2020, the employer asked the claimant to return to work on         April 27, 2020. The claimant did not have a vehicle to commute to Anchorage to work, and there is no public transportation that would get him to Anchorage for a </w:t>
      </w:r>
      <w:r>
        <w:rPr>
          <w:rFonts w:ascii="Bookman Old Style" w:hAnsi="Bookman Old Style"/>
          <w:snapToGrid/>
          <w:szCs w:val="24"/>
        </w:rPr>
        <w:lastRenderedPageBreak/>
        <w:t xml:space="preserve">6:00 am shift.  The claimant told the employer he would not return, as he had no transportation from his present residence.  The claimant remains available for work in Wasilla, and there are employers within walking distance from his residence.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FF5923" w:rsidRDefault="00FF5923" w:rsidP="00FF5923">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rsidR="00FF5923" w:rsidRPr="004E4DD2" w:rsidRDefault="00FF5923" w:rsidP="00FF5923">
      <w:pPr>
        <w:tabs>
          <w:tab w:val="left" w:pos="-1440"/>
          <w:tab w:val="left" w:pos="-720"/>
          <w:tab w:val="left" w:pos="720"/>
        </w:tabs>
        <w:rPr>
          <w:rFonts w:ascii="Bookman Old Style" w:hAnsi="Bookman Old Style"/>
          <w:b/>
          <w:szCs w:val="24"/>
        </w:rPr>
      </w:pPr>
    </w:p>
    <w:p w:rsidR="00FF5923" w:rsidRPr="004E4DD2" w:rsidRDefault="00FF5923" w:rsidP="00FF5923">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rsidR="00FF5923" w:rsidRPr="004E4DD2" w:rsidRDefault="00FF5923" w:rsidP="00FF5923">
      <w:pPr>
        <w:tabs>
          <w:tab w:val="left" w:pos="-1440"/>
          <w:tab w:val="left" w:pos="-720"/>
        </w:tabs>
        <w:rPr>
          <w:rFonts w:ascii="Bookman Old Style" w:hAnsi="Bookman Old Style"/>
          <w:szCs w:val="24"/>
        </w:rPr>
      </w:pPr>
    </w:p>
    <w:p w:rsidR="00FF5923" w:rsidRPr="000C67D4" w:rsidRDefault="00FF5923" w:rsidP="00FF5923">
      <w:pPr>
        <w:numPr>
          <w:ilvl w:val="0"/>
          <w:numId w:val="10"/>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rsidR="00FF5923" w:rsidRPr="004E4DD2" w:rsidRDefault="00FF5923" w:rsidP="00FF5923">
      <w:pPr>
        <w:numPr>
          <w:ilvl w:val="0"/>
          <w:numId w:val="10"/>
        </w:numPr>
        <w:tabs>
          <w:tab w:val="left" w:pos="-1440"/>
          <w:tab w:val="left" w:pos="-720"/>
        </w:tabs>
        <w:rPr>
          <w:rFonts w:ascii="Bookman Old Style" w:hAnsi="Bookman Old Style"/>
          <w:szCs w:val="24"/>
        </w:rPr>
      </w:pPr>
      <w:proofErr w:type="gramStart"/>
      <w:r w:rsidRPr="004E4DD2">
        <w:rPr>
          <w:rFonts w:ascii="Bookman Old Style" w:hAnsi="Bookman Old Style"/>
          <w:szCs w:val="24"/>
        </w:rPr>
        <w:t>to</w:t>
      </w:r>
      <w:proofErr w:type="gramEnd"/>
      <w:r w:rsidRPr="004E4DD2">
        <w:rPr>
          <w:rFonts w:ascii="Bookman Old Style" w:hAnsi="Bookman Old Style"/>
          <w:szCs w:val="24"/>
        </w:rPr>
        <w:t xml:space="preserve"> accept suitable work when offered to the insured worker.</w:t>
      </w:r>
    </w:p>
    <w:p w:rsidR="00FF5923" w:rsidRDefault="00FF5923" w:rsidP="00FF5923">
      <w:pPr>
        <w:rPr>
          <w:rFonts w:ascii="Bookman Old Style" w:hAnsi="Bookman Old Style"/>
          <w:szCs w:val="24"/>
        </w:rPr>
      </w:pPr>
    </w:p>
    <w:p w:rsidR="00FF5923" w:rsidRDefault="00FF5923" w:rsidP="00FF5923">
      <w:pPr>
        <w:tabs>
          <w:tab w:val="left" w:pos="-1440"/>
          <w:tab w:val="left" w:pos="-720"/>
          <w:tab w:val="left" w:pos="720"/>
        </w:tabs>
        <w:rPr>
          <w:rFonts w:ascii="Bookman Old Style" w:hAnsi="Bookman Old Style"/>
          <w:b/>
          <w:szCs w:val="24"/>
        </w:rPr>
      </w:pPr>
      <w:r>
        <w:rPr>
          <w:rFonts w:ascii="Bookman Old Style" w:hAnsi="Bookman Old Style"/>
          <w:b/>
          <w:szCs w:val="24"/>
        </w:rPr>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rsidR="00FF5923" w:rsidRDefault="00FF5923" w:rsidP="00FF5923">
      <w:pPr>
        <w:rPr>
          <w:rFonts w:ascii="Bookman Old Style" w:hAnsi="Bookman Old Style"/>
          <w:szCs w:val="24"/>
        </w:rPr>
      </w:pPr>
    </w:p>
    <w:p w:rsidR="00FF5923" w:rsidRPr="000B0003" w:rsidRDefault="00FF5923" w:rsidP="00FF5923">
      <w:pPr>
        <w:pStyle w:val="NormalWeb"/>
        <w:rPr>
          <w:rFonts w:ascii="Bookman Old Style" w:hAnsi="Bookman Old Style"/>
        </w:rPr>
      </w:pPr>
      <w:r w:rsidRPr="000B0003">
        <w:rPr>
          <w:rFonts w:ascii="Bookman Old Style" w:hAnsi="Bookman Old Style"/>
        </w:rPr>
        <w:t>(a) Work may not be considered suitable and benefits may not be denied under a provision of this chapter to an otherwise eligible individual for refusing to accept new work under any of the following conditions:</w:t>
      </w:r>
    </w:p>
    <w:p w:rsidR="00FF5923" w:rsidRPr="000B0003" w:rsidRDefault="00CB33D1" w:rsidP="00FF5923">
      <w:pPr>
        <w:pStyle w:val="NormalWeb"/>
        <w:rPr>
          <w:rFonts w:ascii="Bookman Old Style" w:hAnsi="Bookman Old Style"/>
        </w:rPr>
      </w:pPr>
      <w:r w:rsidRPr="00F1672D">
        <w:rPr>
          <w:rFonts w:ascii="Bookman Old Style" w:hAnsi="Bookman Old Style"/>
          <w:noProof/>
        </w:rPr>
        <w:drawing>
          <wp:inline distT="0" distB="0" distL="0" distR="0">
            <wp:extent cx="285750" cy="9525"/>
            <wp:effectExtent l="0" t="0" r="0" b="0"/>
            <wp:docPr id="1" name="Picture 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gis.state.ak.us/sdimages/ta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FF5923" w:rsidRPr="000B0003">
        <w:rPr>
          <w:rFonts w:ascii="Bookman Old Style" w:hAnsi="Bookman Old Style"/>
        </w:rPr>
        <w:t xml:space="preserve">(1) </w:t>
      </w:r>
      <w:proofErr w:type="gramStart"/>
      <w:r w:rsidR="00FF5923" w:rsidRPr="000B0003">
        <w:rPr>
          <w:rFonts w:ascii="Bookman Old Style" w:hAnsi="Bookman Old Style"/>
        </w:rPr>
        <w:t>if</w:t>
      </w:r>
      <w:proofErr w:type="gramEnd"/>
      <w:r w:rsidR="00FF5923" w:rsidRPr="000B0003">
        <w:rPr>
          <w:rFonts w:ascii="Bookman Old Style" w:hAnsi="Bookman Old Style"/>
        </w:rPr>
        <w:t xml:space="preserve"> the position offered is vacant due directly to a strike, lockout, or other labor dispute;</w:t>
      </w:r>
    </w:p>
    <w:p w:rsidR="00FF5923" w:rsidRPr="000B0003" w:rsidRDefault="00CB33D1" w:rsidP="00FF5923">
      <w:pPr>
        <w:pStyle w:val="NormalWeb"/>
        <w:rPr>
          <w:rFonts w:ascii="Bookman Old Style" w:hAnsi="Bookman Old Style"/>
        </w:rPr>
      </w:pPr>
      <w:r w:rsidRPr="00F1672D">
        <w:rPr>
          <w:rFonts w:ascii="Bookman Old Style" w:hAnsi="Bookman Old Style"/>
          <w:noProof/>
        </w:rPr>
        <w:drawing>
          <wp:inline distT="0" distB="0" distL="0" distR="0">
            <wp:extent cx="285750" cy="9525"/>
            <wp:effectExtent l="0" t="0" r="0" b="0"/>
            <wp:docPr id="2" name="Picture 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gis.state.ak.us/sdimages/ta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FF5923" w:rsidRPr="000B0003">
        <w:rPr>
          <w:rFonts w:ascii="Bookman Old Style" w:hAnsi="Bookman Old Style"/>
        </w:rPr>
        <w:t xml:space="preserve">(2) </w:t>
      </w:r>
      <w:proofErr w:type="gramStart"/>
      <w:r w:rsidR="00FF5923" w:rsidRPr="000B0003">
        <w:rPr>
          <w:rFonts w:ascii="Bookman Old Style" w:hAnsi="Bookman Old Style"/>
        </w:rPr>
        <w:t>if</w:t>
      </w:r>
      <w:proofErr w:type="gramEnd"/>
      <w:r w:rsidR="00FF5923" w:rsidRPr="000B0003">
        <w:rPr>
          <w:rFonts w:ascii="Bookman Old Style" w:hAnsi="Bookman Old Style"/>
        </w:rPr>
        <w:t xml:space="preserve"> the wages, hours, or other conditions of the work offered are substantially less favorable to the individual than those prevailing for similar work in the locality;</w:t>
      </w:r>
    </w:p>
    <w:p w:rsidR="00FF5923" w:rsidRPr="000B0003" w:rsidRDefault="00CB33D1" w:rsidP="00FF5923">
      <w:pPr>
        <w:pStyle w:val="NormalWeb"/>
        <w:rPr>
          <w:rFonts w:ascii="Bookman Old Style" w:hAnsi="Bookman Old Style"/>
        </w:rPr>
      </w:pPr>
      <w:r w:rsidRPr="00F1672D">
        <w:rPr>
          <w:rFonts w:ascii="Bookman Old Style" w:hAnsi="Bookman Old Style"/>
          <w:noProof/>
        </w:rPr>
        <w:drawing>
          <wp:inline distT="0" distB="0" distL="0" distR="0">
            <wp:extent cx="285750" cy="9525"/>
            <wp:effectExtent l="0" t="0" r="0" b="0"/>
            <wp:docPr id="3" name="Picture 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state.ak.us/sdimages/ta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FF5923" w:rsidRPr="000B0003">
        <w:rPr>
          <w:rFonts w:ascii="Bookman Old Style" w:hAnsi="Bookman Old Style"/>
        </w:rPr>
        <w:t xml:space="preserve">(3) </w:t>
      </w:r>
      <w:proofErr w:type="gramStart"/>
      <w:r w:rsidR="00FF5923" w:rsidRPr="000B0003">
        <w:rPr>
          <w:rFonts w:ascii="Bookman Old Style" w:hAnsi="Bookman Old Style"/>
        </w:rPr>
        <w:t>if</w:t>
      </w:r>
      <w:proofErr w:type="gramEnd"/>
      <w:r w:rsidR="00FF5923" w:rsidRPr="000B0003">
        <w:rPr>
          <w:rFonts w:ascii="Bookman Old Style" w:hAnsi="Bookman Old Style"/>
        </w:rPr>
        <w:t>, as a condition of being employed, the individual would be required to join a company union or to resign from or refrain from joining a bona fide labor organization.</w:t>
      </w:r>
    </w:p>
    <w:p w:rsidR="00FF5923" w:rsidRPr="000B0003" w:rsidRDefault="00FF5923" w:rsidP="00FF5923">
      <w:pPr>
        <w:pStyle w:val="NormalWeb"/>
        <w:rPr>
          <w:rFonts w:ascii="Bookman Old Style" w:hAnsi="Bookman Old Style"/>
        </w:rPr>
      </w:pPr>
      <w:r w:rsidRPr="000B0003">
        <w:rPr>
          <w:rFonts w:ascii="Bookman Old Style" w:hAnsi="Bookman Old Style"/>
        </w:rPr>
        <w:t>(b) 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other factors that influence a reasonably prudent person in the claimant’s circumstances.</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w:t>
      </w:r>
      <w:r w:rsidRPr="00D82DF6">
        <w:rPr>
          <w:rFonts w:ascii="Bookman Old Style" w:hAnsi="Bookman Old Style"/>
          <w:snapToGrid/>
          <w:szCs w:val="24"/>
        </w:rPr>
        <w:lastRenderedPageBreak/>
        <w:t>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9A6267" w:rsidRDefault="001912D8" w:rsidP="009A6267">
      <w:pPr>
        <w:suppressAutoHyphens/>
        <w:rPr>
          <w:rFonts w:ascii="Bookman Old Style" w:hAnsi="Bookman Old Style"/>
          <w:spacing w:val="-3"/>
          <w:szCs w:val="24"/>
        </w:rPr>
      </w:pPr>
      <w:r>
        <w:rPr>
          <w:rFonts w:ascii="Bookman Old Style" w:hAnsi="Bookman Old Style"/>
          <w:spacing w:val="-3"/>
          <w:szCs w:val="24"/>
        </w:rPr>
        <w:t xml:space="preserve">The claimant in this case was laid off due to a lack of work.  </w:t>
      </w:r>
      <w:r w:rsidR="009A6267">
        <w:rPr>
          <w:rFonts w:ascii="Bookman Old Style" w:hAnsi="Bookman Old Style"/>
          <w:spacing w:val="-3"/>
          <w:szCs w:val="24"/>
        </w:rPr>
        <w:t xml:space="preserve">The Tribunal finds the employment relationship was ended when the claimant was laid off due to business reasons of the employer, without a date to return to work, which is a non-disqualifying discharge. </w:t>
      </w:r>
    </w:p>
    <w:p w:rsidR="009A6267" w:rsidRDefault="009A6267" w:rsidP="009A6267">
      <w:pPr>
        <w:suppressAutoHyphens/>
        <w:rPr>
          <w:rFonts w:ascii="Bookman Old Style" w:hAnsi="Bookman Old Style"/>
          <w:spacing w:val="-3"/>
          <w:szCs w:val="24"/>
        </w:rPr>
      </w:pPr>
    </w:p>
    <w:p w:rsidR="009A6267" w:rsidRDefault="009A6267" w:rsidP="009A6267">
      <w:pPr>
        <w:suppressAutoHyphens/>
        <w:rPr>
          <w:rFonts w:ascii="Bookman Old Style" w:hAnsi="Bookman Old Style"/>
          <w:spacing w:val="-3"/>
          <w:szCs w:val="24"/>
        </w:rPr>
      </w:pPr>
      <w:r>
        <w:rPr>
          <w:rFonts w:ascii="Bookman Old Style" w:hAnsi="Bookman Old Style"/>
          <w:spacing w:val="-3"/>
          <w:szCs w:val="24"/>
        </w:rPr>
        <w:t xml:space="preserve">The claimant refused an offer of work </w:t>
      </w:r>
      <w:r w:rsidR="00CB33D1">
        <w:rPr>
          <w:rFonts w:ascii="Bookman Old Style" w:hAnsi="Bookman Old Style"/>
          <w:spacing w:val="-3"/>
          <w:szCs w:val="24"/>
        </w:rPr>
        <w:t xml:space="preserve">from the employer </w:t>
      </w:r>
      <w:r>
        <w:rPr>
          <w:rFonts w:ascii="Bookman Old Style" w:hAnsi="Bookman Old Style"/>
          <w:spacing w:val="-3"/>
          <w:szCs w:val="24"/>
        </w:rPr>
        <w:t xml:space="preserve">on April 23, 2020, so the Tribunal will consider if the claimant </w:t>
      </w:r>
      <w:r w:rsidR="00CB33D1">
        <w:rPr>
          <w:rFonts w:ascii="Bookman Old Style" w:hAnsi="Bookman Old Style"/>
          <w:spacing w:val="-3"/>
          <w:szCs w:val="24"/>
        </w:rPr>
        <w:t>had good cause to refuse that</w:t>
      </w:r>
      <w:r>
        <w:rPr>
          <w:rFonts w:ascii="Bookman Old Style" w:hAnsi="Bookman Old Style"/>
          <w:spacing w:val="-3"/>
          <w:szCs w:val="24"/>
        </w:rPr>
        <w:t xml:space="preserve"> work.  </w:t>
      </w:r>
    </w:p>
    <w:p w:rsidR="009A6267" w:rsidRDefault="009A6267" w:rsidP="009A6267">
      <w:pPr>
        <w:suppressAutoHyphens/>
        <w:rPr>
          <w:rFonts w:ascii="Bookman Old Style" w:hAnsi="Bookman Old Style"/>
          <w:spacing w:val="-3"/>
          <w:szCs w:val="24"/>
        </w:rPr>
      </w:pPr>
    </w:p>
    <w:p w:rsidR="009A6267" w:rsidRDefault="009A6267" w:rsidP="009A6267">
      <w:pPr>
        <w:suppressAutoHyphens/>
        <w:rPr>
          <w:rFonts w:ascii="Bookman Old Style" w:hAnsi="Bookman Old Style"/>
          <w:spacing w:val="-3"/>
          <w:szCs w:val="24"/>
        </w:rPr>
      </w:pPr>
      <w:r>
        <w:rPr>
          <w:rFonts w:ascii="Bookman Old Style" w:hAnsi="Bookman Old Style"/>
          <w:spacing w:val="-3"/>
          <w:szCs w:val="24"/>
        </w:rPr>
        <w:t xml:space="preserve">AS 23.20.385(b) holds that the Department will consider the distance of available work from the claimant’s residence when </w:t>
      </w:r>
      <w:r w:rsidR="00CB33D1">
        <w:rPr>
          <w:rFonts w:ascii="Bookman Old Style" w:hAnsi="Bookman Old Style"/>
          <w:spacing w:val="-3"/>
          <w:szCs w:val="24"/>
        </w:rPr>
        <w:t xml:space="preserve">determining good cause for refusing work.  The claimant in this case relocated while he was unemployed.  Accepting an offer of housing was reasonable and prudent in the claimant’s situation with no date to return to work.  Because the claimant depends on walking or public transportation to get to work, the work in Anchorage was no longer suitable for the claimant after his relocation to Wasilla.  </w:t>
      </w:r>
    </w:p>
    <w:p w:rsidR="00CB33D1" w:rsidRDefault="00CB33D1" w:rsidP="009A6267">
      <w:pPr>
        <w:suppressAutoHyphens/>
        <w:rPr>
          <w:rFonts w:ascii="Bookman Old Style" w:hAnsi="Bookman Old Style"/>
          <w:spacing w:val="-3"/>
          <w:szCs w:val="24"/>
        </w:rPr>
      </w:pPr>
    </w:p>
    <w:p w:rsidR="00CB33D1" w:rsidRDefault="00CB33D1" w:rsidP="009A6267">
      <w:pPr>
        <w:suppressAutoHyphens/>
        <w:rPr>
          <w:rFonts w:ascii="Bookman Old Style" w:hAnsi="Bookman Old Style"/>
          <w:spacing w:val="-3"/>
          <w:szCs w:val="24"/>
        </w:rPr>
      </w:pPr>
      <w:r>
        <w:rPr>
          <w:rFonts w:ascii="Bookman Old Style" w:hAnsi="Bookman Old Style"/>
          <w:spacing w:val="-3"/>
          <w:szCs w:val="24"/>
        </w:rPr>
        <w:t xml:space="preserve">AS 23.20.379 holds that penalties are appropriate if a claimant refuses an offer of suitable work.  As the work was no longer suitable for the claimant, the penalty does not apply in this case.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CB33D1">
        <w:rPr>
          <w:rFonts w:ascii="Bookman Old Style" w:hAnsi="Bookman Old Style"/>
          <w:szCs w:val="24"/>
        </w:rPr>
        <w:t>July 29, 2020</w:t>
      </w:r>
      <w:r w:rsidR="003311C5">
        <w:rPr>
          <w:rFonts w:ascii="Bookman Old Style" w:hAnsi="Bookman Old Style"/>
          <w:szCs w:val="24"/>
        </w:rPr>
        <w:t xml:space="preserve"> </w:t>
      </w:r>
      <w:r w:rsidRPr="00D82DF6">
        <w:rPr>
          <w:rFonts w:ascii="Bookman Old Style" w:hAnsi="Bookman Old Style"/>
          <w:szCs w:val="24"/>
        </w:rPr>
        <w:t xml:space="preserve">is </w:t>
      </w:r>
      <w:r w:rsidR="00CB33D1">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CB33D1">
        <w:rPr>
          <w:rFonts w:ascii="Bookman Old Style" w:hAnsi="Bookman Old Style"/>
          <w:szCs w:val="24"/>
        </w:rPr>
        <w:t>May 2, 2020 through June 6, 2020</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rsidR="00CB33D1" w:rsidRPr="00D82DF6" w:rsidRDefault="00CB33D1"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CB33D1"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w:t>
      </w:r>
    </w:p>
    <w:p w:rsidR="00CB33D1" w:rsidRDefault="00CB33D1" w:rsidP="00D82DF6">
      <w:pPr>
        <w:rPr>
          <w:rFonts w:ascii="Bookman Old Style" w:hAnsi="Bookman Old Style"/>
          <w:szCs w:val="24"/>
        </w:rPr>
      </w:pPr>
    </w:p>
    <w:p w:rsidR="00CB33D1" w:rsidRDefault="00CB33D1" w:rsidP="00D82DF6">
      <w:pPr>
        <w:rPr>
          <w:rFonts w:ascii="Bookman Old Style" w:hAnsi="Bookman Old Style"/>
          <w:szCs w:val="24"/>
        </w:rPr>
      </w:pPr>
    </w:p>
    <w:p w:rsidR="00CB33D1" w:rsidRDefault="00CB33D1" w:rsidP="00D82DF6">
      <w:pPr>
        <w:rPr>
          <w:rFonts w:ascii="Bookman Old Style" w:hAnsi="Bookman Old Style"/>
          <w:szCs w:val="24"/>
        </w:rPr>
      </w:pPr>
    </w:p>
    <w:p w:rsidR="00CB33D1" w:rsidRDefault="00CB33D1" w:rsidP="00D82DF6">
      <w:pPr>
        <w:rPr>
          <w:rFonts w:ascii="Bookman Old Style" w:hAnsi="Bookman Old Style"/>
          <w:szCs w:val="24"/>
        </w:rPr>
      </w:pPr>
    </w:p>
    <w:p w:rsidR="00D82DF6" w:rsidRPr="00D82DF6" w:rsidRDefault="00D82DF6" w:rsidP="00D82DF6">
      <w:pPr>
        <w:rPr>
          <w:rFonts w:ascii="Bookman Old Style" w:hAnsi="Bookman Old Style"/>
          <w:szCs w:val="24"/>
        </w:rPr>
      </w:pPr>
      <w:proofErr w:type="gramStart"/>
      <w:r w:rsidRPr="00D82DF6">
        <w:rPr>
          <w:rFonts w:ascii="Bookman Old Style" w:hAnsi="Bookman Old Style"/>
          <w:szCs w:val="24"/>
        </w:rPr>
        <w:t>to</w:t>
      </w:r>
      <w:proofErr w:type="gramEnd"/>
      <w:r w:rsidRPr="00D82DF6">
        <w:rPr>
          <w:rFonts w:ascii="Bookman Old Style" w:hAnsi="Bookman Old Style"/>
          <w:szCs w:val="24"/>
        </w:rPr>
        <w:t xml:space="preserve">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CB33D1">
        <w:rPr>
          <w:rFonts w:ascii="Bookman Old Style" w:hAnsi="Bookman Old Style"/>
          <w:szCs w:val="24"/>
        </w:rPr>
        <w:t>September 16,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CB33D1">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10"/>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5C4" w:rsidRDefault="002505C4">
      <w:pPr>
        <w:widowControl/>
        <w:spacing w:line="20" w:lineRule="exact"/>
      </w:pPr>
    </w:p>
  </w:endnote>
  <w:endnote w:type="continuationSeparator" w:id="0">
    <w:p w:rsidR="002505C4" w:rsidRDefault="002505C4">
      <w:r>
        <w:t xml:space="preserve"> </w:t>
      </w:r>
    </w:p>
  </w:endnote>
  <w:endnote w:type="continuationNotice" w:id="1">
    <w:p w:rsidR="002505C4" w:rsidRDefault="00250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5C4" w:rsidRDefault="002505C4">
      <w:r>
        <w:separator/>
      </w:r>
    </w:p>
  </w:footnote>
  <w:footnote w:type="continuationSeparator" w:id="0">
    <w:p w:rsidR="002505C4" w:rsidRDefault="0025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FF5923">
      <w:rPr>
        <w:rFonts w:ascii="Bookman Old Style" w:hAnsi="Bookman Old Style"/>
      </w:rPr>
      <w:t>20 1205</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D70EEC">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6"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7"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8"/>
  </w:num>
  <w:num w:numId="3">
    <w:abstractNumId w:val="0"/>
  </w:num>
  <w:num w:numId="4">
    <w:abstractNumId w:val="1"/>
  </w:num>
  <w:num w:numId="5">
    <w:abstractNumId w:val="9"/>
  </w:num>
  <w:num w:numId="6">
    <w:abstractNumId w:val="3"/>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C4"/>
    <w:rsid w:val="00003DC3"/>
    <w:rsid w:val="00026FBD"/>
    <w:rsid w:val="00027F9D"/>
    <w:rsid w:val="00086907"/>
    <w:rsid w:val="000D3B41"/>
    <w:rsid w:val="000D73C2"/>
    <w:rsid w:val="000F5712"/>
    <w:rsid w:val="00145E88"/>
    <w:rsid w:val="001912D8"/>
    <w:rsid w:val="00193EB9"/>
    <w:rsid w:val="001B73F6"/>
    <w:rsid w:val="002505C4"/>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55271"/>
    <w:rsid w:val="005A281D"/>
    <w:rsid w:val="005A4355"/>
    <w:rsid w:val="005F1D92"/>
    <w:rsid w:val="00643AF0"/>
    <w:rsid w:val="00661D7B"/>
    <w:rsid w:val="00765551"/>
    <w:rsid w:val="00774034"/>
    <w:rsid w:val="007C0440"/>
    <w:rsid w:val="007C774A"/>
    <w:rsid w:val="0080245E"/>
    <w:rsid w:val="008B1CA2"/>
    <w:rsid w:val="008B45DB"/>
    <w:rsid w:val="008F3C72"/>
    <w:rsid w:val="00931AA2"/>
    <w:rsid w:val="00932DE9"/>
    <w:rsid w:val="009639E3"/>
    <w:rsid w:val="009A6267"/>
    <w:rsid w:val="00A51932"/>
    <w:rsid w:val="00A66D6A"/>
    <w:rsid w:val="00AA0015"/>
    <w:rsid w:val="00AD5C90"/>
    <w:rsid w:val="00B23E70"/>
    <w:rsid w:val="00B24371"/>
    <w:rsid w:val="00B554BF"/>
    <w:rsid w:val="00B85F9D"/>
    <w:rsid w:val="00C3767D"/>
    <w:rsid w:val="00C47467"/>
    <w:rsid w:val="00C734D5"/>
    <w:rsid w:val="00C81FB9"/>
    <w:rsid w:val="00CB33D1"/>
    <w:rsid w:val="00D025D4"/>
    <w:rsid w:val="00D70EEC"/>
    <w:rsid w:val="00D829CE"/>
    <w:rsid w:val="00D82DF6"/>
    <w:rsid w:val="00DD54FF"/>
    <w:rsid w:val="00DF1DE2"/>
    <w:rsid w:val="00E20AA8"/>
    <w:rsid w:val="00EB0E9D"/>
    <w:rsid w:val="00EB2462"/>
    <w:rsid w:val="00EC3E1C"/>
    <w:rsid w:val="00F2294D"/>
    <w:rsid w:val="00FA6CE0"/>
    <w:rsid w:val="00FD077C"/>
    <w:rsid w:val="00FE2B93"/>
    <w:rsid w:val="00FF4045"/>
    <w:rsid w:val="00FF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0EE243"/>
  <w15:chartTrackingRefBased/>
  <w15:docId w15:val="{912DD265-F551-4D93-9D96-3D8D45D2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styleId="NormalWeb">
    <w:name w:val="Normal (Web)"/>
    <w:basedOn w:val="Normal"/>
    <w:uiPriority w:val="99"/>
    <w:unhideWhenUsed/>
    <w:rsid w:val="00FF5923"/>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52895A-71DF-449E-BD36-8E54F7FE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5</Pages>
  <Words>1303</Words>
  <Characters>6797</Characters>
  <Application>Microsoft Office Word</Application>
  <DocSecurity>0</DocSecurity>
  <Lines>194</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2020-09-16T22:44:00Z</dcterms:created>
  <dcterms:modified xsi:type="dcterms:W3CDTF">2020-09-16T22:44:00Z</dcterms:modified>
</cp:coreProperties>
</file>