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1570CA"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margin">
              <wp:posOffset>-621665</wp:posOffset>
            </wp:positionH>
            <wp:positionV relativeFrom="paragraph">
              <wp:posOffset>-566420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27039D">
        <w:rPr>
          <w:rFonts w:ascii="Bookman Old Style" w:hAnsi="Bookman Old Style"/>
        </w:rPr>
        <w:t>P20 215</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27039D">
        <w:rPr>
          <w:rFonts w:ascii="Bookman Old Style" w:hAnsi="Bookman Old Style"/>
        </w:rPr>
        <w:t>November 24, 2020</w:t>
      </w:r>
    </w:p>
    <w:p w:rsidR="00AF5EA2" w:rsidRPr="00774034" w:rsidRDefault="00AF5EA2" w:rsidP="00E64C4D">
      <w:pPr>
        <w:widowControl/>
        <w:tabs>
          <w:tab w:val="center" w:pos="4680"/>
        </w:tabs>
        <w:suppressAutoHyphens/>
        <w:jc w:val="center"/>
        <w:outlineLvl w:val="0"/>
        <w:rPr>
          <w:rFonts w:ascii="Bookman Old Style" w:hAnsi="Bookman Old Style"/>
        </w:rPr>
      </w:pPr>
      <w:r>
        <w:rPr>
          <w:rFonts w:ascii="Bookman Old Style" w:hAnsi="Bookman Old Style"/>
        </w:rPr>
        <w:t xml:space="preserve">                                                               January 4, 2021</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27039D" w:rsidRDefault="0027039D"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CHRISTOPHER ADKINS</w:t>
      </w:r>
    </w:p>
    <w:p w:rsidR="00BE0461" w:rsidRDefault="00BE0461" w:rsidP="00E64C4D">
      <w:pPr>
        <w:widowControl/>
        <w:tabs>
          <w:tab w:val="left" w:pos="-1440"/>
          <w:tab w:val="left" w:pos="-720"/>
          <w:tab w:val="left" w:pos="0"/>
          <w:tab w:val="left" w:pos="5760"/>
        </w:tabs>
        <w:suppressAutoHyphens/>
        <w:ind w:right="-360"/>
        <w:rPr>
          <w:rFonts w:ascii="Bookman Old Style" w:hAnsi="Bookman Old Style"/>
        </w:rPr>
      </w:pPr>
    </w:p>
    <w:p w:rsidR="00BE0461" w:rsidRDefault="00BE0461"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Default="0027039D"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Christopher Adkins</w:t>
      </w:r>
      <w:r w:rsidR="00395ECA">
        <w:rPr>
          <w:rFonts w:ascii="Bookman Old Style" w:hAnsi="Bookman Old Style"/>
        </w:rPr>
        <w:t xml:space="preserve">                                        </w:t>
      </w:r>
      <w:r>
        <w:rPr>
          <w:rFonts w:ascii="Bookman Old Style" w:hAnsi="Bookman Old Style"/>
        </w:rPr>
        <w:t>Richard Doogan</w:t>
      </w: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27039D">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27039D">
        <w:rPr>
          <w:rFonts w:ascii="Bookman Old Style" w:hAnsi="Bookman Old Style"/>
          <w:snapToGrid/>
          <w:szCs w:val="24"/>
        </w:rPr>
        <w:t>July 8, 2020</w:t>
      </w:r>
      <w:r w:rsidRPr="00C035D6">
        <w:rPr>
          <w:rFonts w:ascii="Bookman Old Style" w:hAnsi="Bookman Old Style"/>
          <w:snapToGrid/>
          <w:szCs w:val="24"/>
        </w:rPr>
        <w:t xml:space="preserve"> determination which </w:t>
      </w:r>
      <w:r w:rsidR="0027039D">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6F5C64" w:rsidRDefault="00E64C4D" w:rsidP="006F5C64">
      <w:pPr>
        <w:widowControl/>
        <w:spacing w:after="200"/>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B957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benefits effective </w:t>
      </w:r>
      <w:r w:rsidR="0027039D">
        <w:rPr>
          <w:rFonts w:ascii="Bookman Old Style" w:hAnsi="Bookman Old Style"/>
          <w:snapToGrid/>
          <w:szCs w:val="24"/>
        </w:rPr>
        <w:t>March 15, 2020</w:t>
      </w:r>
      <w:r>
        <w:rPr>
          <w:rFonts w:ascii="Bookman Old Style" w:hAnsi="Bookman Old Style"/>
          <w:snapToGrid/>
          <w:szCs w:val="24"/>
        </w:rPr>
        <w:t xml:space="preserve">. The Division determined that the claimant was not eligible for regular unemployment benefits because </w:t>
      </w:r>
      <w:r w:rsidR="0027039D">
        <w:rPr>
          <w:rFonts w:ascii="Bookman Old Style" w:hAnsi="Bookman Old Style"/>
          <w:snapToGrid/>
          <w:szCs w:val="24"/>
        </w:rPr>
        <w:t>he</w:t>
      </w:r>
      <w:r>
        <w:rPr>
          <w:rFonts w:ascii="Bookman Old Style" w:hAnsi="Bookman Old Style"/>
          <w:snapToGrid/>
          <w:szCs w:val="24"/>
        </w:rPr>
        <w:t xml:space="preserve"> did not have wages in covered employment on which to base a claim.  </w:t>
      </w:r>
    </w:p>
    <w:p w:rsidR="0027039D" w:rsidRDefault="0027039D" w:rsidP="00E64C4D">
      <w:pPr>
        <w:widowControl/>
        <w:tabs>
          <w:tab w:val="left" w:pos="-1440"/>
          <w:tab w:val="left" w:pos="-720"/>
        </w:tabs>
        <w:rPr>
          <w:rFonts w:ascii="Bookman Old Style" w:hAnsi="Bookman Old Style"/>
          <w:snapToGrid/>
          <w:szCs w:val="24"/>
        </w:rPr>
      </w:pPr>
    </w:p>
    <w:p w:rsidR="0027039D" w:rsidRDefault="0027039D"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has been self-employed as a handyman and mechanic for the </w:t>
      </w:r>
      <w:proofErr w:type="gramStart"/>
      <w:r>
        <w:rPr>
          <w:rFonts w:ascii="Bookman Old Style" w:hAnsi="Bookman Old Style"/>
          <w:snapToGrid/>
          <w:szCs w:val="24"/>
        </w:rPr>
        <w:t>past</w:t>
      </w:r>
      <w:proofErr w:type="gramEnd"/>
      <w:r>
        <w:rPr>
          <w:rFonts w:ascii="Bookman Old Style" w:hAnsi="Bookman Old Style"/>
          <w:snapToGrid/>
          <w:szCs w:val="24"/>
        </w:rPr>
        <w:t xml:space="preserve"> 3-4 years. </w:t>
      </w:r>
      <w:r w:rsidR="00C83FE0">
        <w:rPr>
          <w:rFonts w:ascii="Bookman Old Style" w:hAnsi="Bookman Old Style"/>
          <w:snapToGrid/>
          <w:szCs w:val="24"/>
        </w:rPr>
        <w:t xml:space="preserve">His handyman work consists of snow removal in the winter, </w:t>
      </w:r>
      <w:r w:rsidR="001570CA">
        <w:rPr>
          <w:rFonts w:ascii="Bookman Old Style" w:hAnsi="Bookman Old Style"/>
          <w:snapToGrid/>
          <w:szCs w:val="24"/>
        </w:rPr>
        <w:t>and</w:t>
      </w:r>
      <w:r w:rsidR="008E1DFA">
        <w:rPr>
          <w:rFonts w:ascii="Bookman Old Style" w:hAnsi="Bookman Old Style"/>
          <w:snapToGrid/>
          <w:szCs w:val="24"/>
        </w:rPr>
        <w:t xml:space="preserve"> yard cleaning and trash removal</w:t>
      </w:r>
      <w:r w:rsidR="001570CA">
        <w:rPr>
          <w:rFonts w:ascii="Bookman Old Style" w:hAnsi="Bookman Old Style"/>
          <w:snapToGrid/>
          <w:szCs w:val="24"/>
        </w:rPr>
        <w:t xml:space="preserve"> in the spring. </w:t>
      </w:r>
      <w:r>
        <w:rPr>
          <w:rFonts w:ascii="Bookman Old Style" w:hAnsi="Bookman Old Style"/>
          <w:snapToGrid/>
          <w:szCs w:val="24"/>
        </w:rPr>
        <w:t xml:space="preserve">The claimant </w:t>
      </w:r>
      <w:r w:rsidR="005507C2">
        <w:rPr>
          <w:rFonts w:ascii="Bookman Old Style" w:hAnsi="Bookman Old Style"/>
          <w:snapToGrid/>
          <w:szCs w:val="24"/>
        </w:rPr>
        <w:t>performed some work</w:t>
      </w:r>
      <w:r>
        <w:rPr>
          <w:rFonts w:ascii="Bookman Old Style" w:hAnsi="Bookman Old Style"/>
          <w:snapToGrid/>
          <w:szCs w:val="24"/>
        </w:rPr>
        <w:t xml:space="preserve"> for an apartment owner</w:t>
      </w:r>
      <w:r w:rsidR="005507C2">
        <w:rPr>
          <w:rFonts w:ascii="Bookman Old Style" w:hAnsi="Bookman Old Style"/>
          <w:snapToGrid/>
          <w:szCs w:val="24"/>
        </w:rPr>
        <w:t xml:space="preserve"> in May 2020</w:t>
      </w:r>
      <w:r>
        <w:rPr>
          <w:rFonts w:ascii="Bookman Old Style" w:hAnsi="Bookman Old Style"/>
          <w:snapToGrid/>
          <w:szCs w:val="24"/>
        </w:rPr>
        <w:t>. The owner told the claimant he had more work coming up, but then did not call the claimant.  The claimant does not know why</w:t>
      </w:r>
      <w:r w:rsidR="00C83FE0">
        <w:rPr>
          <w:rFonts w:ascii="Bookman Old Style" w:hAnsi="Bookman Old Style"/>
          <w:snapToGrid/>
          <w:szCs w:val="24"/>
        </w:rPr>
        <w:t xml:space="preserve"> no further work was offered, but speculated it was related to the COVID-19 pandemic</w:t>
      </w:r>
      <w:r>
        <w:rPr>
          <w:rFonts w:ascii="Bookman Old Style" w:hAnsi="Bookman Old Style"/>
          <w:snapToGrid/>
          <w:szCs w:val="24"/>
        </w:rPr>
        <w:t>.  The claimant had planned to start a job</w:t>
      </w:r>
      <w:r w:rsidR="00C83FE0">
        <w:rPr>
          <w:rFonts w:ascii="Bookman Old Style" w:hAnsi="Bookman Old Style"/>
          <w:snapToGrid/>
          <w:szCs w:val="24"/>
        </w:rPr>
        <w:t xml:space="preserve"> immediately after that work which consisted of</w:t>
      </w:r>
      <w:r>
        <w:rPr>
          <w:rFonts w:ascii="Bookman Old Style" w:hAnsi="Bookman Old Style"/>
          <w:snapToGrid/>
          <w:szCs w:val="24"/>
        </w:rPr>
        <w:t xml:space="preserve"> se</w:t>
      </w:r>
      <w:r w:rsidR="00BF6AEB">
        <w:rPr>
          <w:rFonts w:ascii="Bookman Old Style" w:hAnsi="Bookman Old Style"/>
          <w:snapToGrid/>
          <w:szCs w:val="24"/>
        </w:rPr>
        <w:t xml:space="preserve">aling a </w:t>
      </w:r>
      <w:r w:rsidR="001570CA">
        <w:rPr>
          <w:rFonts w:ascii="Bookman Old Style" w:hAnsi="Bookman Old Style"/>
          <w:snapToGrid/>
          <w:szCs w:val="24"/>
        </w:rPr>
        <w:t xml:space="preserve">residential </w:t>
      </w:r>
      <w:r w:rsidR="00BF6AEB">
        <w:rPr>
          <w:rFonts w:ascii="Bookman Old Style" w:hAnsi="Bookman Old Style"/>
          <w:snapToGrid/>
          <w:szCs w:val="24"/>
        </w:rPr>
        <w:t xml:space="preserve">driveway for a customer, but the customer delayed and then cancelled the work because </w:t>
      </w:r>
      <w:r w:rsidR="00BF6AEB">
        <w:rPr>
          <w:rFonts w:ascii="Bookman Old Style" w:hAnsi="Bookman Old Style"/>
          <w:snapToGrid/>
          <w:szCs w:val="24"/>
        </w:rPr>
        <w:lastRenderedPageBreak/>
        <w:t xml:space="preserve">of concerns about the COVID-19 pandemic.  The customer </w:t>
      </w:r>
      <w:r w:rsidR="008E1DFA">
        <w:rPr>
          <w:rFonts w:ascii="Bookman Old Style" w:hAnsi="Bookman Old Style"/>
          <w:snapToGrid/>
          <w:szCs w:val="24"/>
        </w:rPr>
        <w:t xml:space="preserve">eventually </w:t>
      </w:r>
      <w:r w:rsidR="00BF6AEB">
        <w:rPr>
          <w:rFonts w:ascii="Bookman Old Style" w:hAnsi="Bookman Old Style"/>
          <w:snapToGrid/>
          <w:szCs w:val="24"/>
        </w:rPr>
        <w:t>told the claimant he would have the</w:t>
      </w:r>
      <w:r w:rsidR="008E1DFA">
        <w:rPr>
          <w:rFonts w:ascii="Bookman Old Style" w:hAnsi="Bookman Old Style"/>
          <w:snapToGrid/>
          <w:szCs w:val="24"/>
        </w:rPr>
        <w:t xml:space="preserve"> work done next year when it was safe.</w:t>
      </w:r>
      <w:r w:rsidR="00BF6AEB">
        <w:rPr>
          <w:rFonts w:ascii="Bookman Old Style" w:hAnsi="Bookman Old Style"/>
          <w:snapToGrid/>
          <w:szCs w:val="24"/>
        </w:rPr>
        <w:t xml:space="preserve">  </w:t>
      </w:r>
    </w:p>
    <w:p w:rsidR="00BF6AEB" w:rsidRDefault="00BF6AEB" w:rsidP="00E64C4D">
      <w:pPr>
        <w:widowControl/>
        <w:tabs>
          <w:tab w:val="left" w:pos="-1440"/>
          <w:tab w:val="left" w:pos="-720"/>
        </w:tabs>
        <w:rPr>
          <w:rFonts w:ascii="Bookman Old Style" w:hAnsi="Bookman Old Style"/>
          <w:snapToGrid/>
          <w:szCs w:val="24"/>
        </w:rPr>
      </w:pPr>
    </w:p>
    <w:p w:rsidR="007A33F1" w:rsidRDefault="00BF6AEB"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is a certified mechanic for motorcycles and 4-wheelers and he also works on cars.  The claimant gets </w:t>
      </w:r>
      <w:r w:rsidR="001570CA">
        <w:rPr>
          <w:rFonts w:ascii="Bookman Old Style" w:hAnsi="Bookman Old Style"/>
          <w:snapToGrid/>
          <w:szCs w:val="24"/>
        </w:rPr>
        <w:t xml:space="preserve">his handyman and mechanic </w:t>
      </w:r>
      <w:r>
        <w:rPr>
          <w:rFonts w:ascii="Bookman Old Style" w:hAnsi="Bookman Old Style"/>
          <w:snapToGrid/>
          <w:szCs w:val="24"/>
        </w:rPr>
        <w:t xml:space="preserve">business by hanging flyers on doors in residential areas and by posting ads online.  He was prevented from hanging flyers on doors when local mandates ordered residents to “hunker down” and avoid non-essential travel.  </w:t>
      </w:r>
      <w:r w:rsidR="001570CA">
        <w:rPr>
          <w:rFonts w:ascii="Bookman Old Style" w:hAnsi="Bookman Old Style"/>
          <w:snapToGrid/>
          <w:szCs w:val="24"/>
        </w:rPr>
        <w:t>No mandates prevented the claimant from performing handyman work or working on vehicles, neither of which require substantial contact with customers.</w:t>
      </w:r>
      <w:r w:rsidR="007A33F1">
        <w:rPr>
          <w:rFonts w:ascii="Bookman Old Style" w:hAnsi="Bookman Old Style"/>
          <w:snapToGrid/>
          <w:szCs w:val="24"/>
        </w:rPr>
        <w:t xml:space="preserve"> The Tribunal takes official notice of the Municipality of Anchorage’s COVID-19 website at </w:t>
      </w:r>
      <w:r w:rsidR="007A33F1" w:rsidRPr="007A33F1">
        <w:rPr>
          <w:rFonts w:ascii="Bookman Old Style" w:hAnsi="Bookman Old Style"/>
          <w:snapToGrid/>
          <w:szCs w:val="24"/>
        </w:rPr>
        <w:t>https://covid-response-moa-muniorg.hub.arcgis.com/pages/</w:t>
      </w:r>
    </w:p>
    <w:p w:rsidR="00B95782" w:rsidRDefault="007A33F1" w:rsidP="00E64C4D">
      <w:pPr>
        <w:widowControl/>
        <w:tabs>
          <w:tab w:val="left" w:pos="-1440"/>
          <w:tab w:val="left" w:pos="-720"/>
        </w:tabs>
        <w:rPr>
          <w:rFonts w:ascii="Bookman Old Style" w:hAnsi="Bookman Old Style"/>
          <w:snapToGrid/>
          <w:szCs w:val="24"/>
        </w:rPr>
      </w:pPr>
      <w:proofErr w:type="gramStart"/>
      <w:r w:rsidRPr="007A33F1">
        <w:rPr>
          <w:rFonts w:ascii="Bookman Old Style" w:hAnsi="Bookman Old Style"/>
          <w:snapToGrid/>
          <w:szCs w:val="24"/>
        </w:rPr>
        <w:t>emergency-orders</w:t>
      </w:r>
      <w:proofErr w:type="gramEnd"/>
      <w:r>
        <w:rPr>
          <w:rFonts w:ascii="Bookman Old Style" w:hAnsi="Bookman Old Style"/>
          <w:snapToGrid/>
          <w:szCs w:val="24"/>
        </w:rPr>
        <w:t xml:space="preserve">, which states that the area’s “hunker down” order ended effective April 27, 2020. The claimant was not aware of the end date of the order.  He did pass out some flyers in residential areas over the summer, but felt like he was “doing something wrong” when he did. </w:t>
      </w:r>
    </w:p>
    <w:p w:rsidR="00C83FE0" w:rsidRDefault="00C83FE0" w:rsidP="00E64C4D">
      <w:pPr>
        <w:widowControl/>
        <w:tabs>
          <w:tab w:val="left" w:pos="-1440"/>
          <w:tab w:val="left" w:pos="-720"/>
        </w:tabs>
        <w:rPr>
          <w:rFonts w:ascii="Bookman Old Style" w:hAnsi="Bookman Old Style"/>
          <w:snapToGrid/>
          <w:szCs w:val="24"/>
        </w:rPr>
      </w:pPr>
    </w:p>
    <w:p w:rsidR="00C83FE0" w:rsidRDefault="00C83FE0"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provided a record of his earnings in 2019 and for January through July of 2020. In comparing the claimant’s earnings, His 2020 earnings for February 2020 </w:t>
      </w:r>
      <w:r w:rsidR="008E1DFA">
        <w:rPr>
          <w:rFonts w:ascii="Bookman Old Style" w:hAnsi="Bookman Old Style"/>
          <w:snapToGrid/>
          <w:szCs w:val="24"/>
        </w:rPr>
        <w:t>were</w:t>
      </w:r>
      <w:r>
        <w:rPr>
          <w:rFonts w:ascii="Bookman Old Style" w:hAnsi="Bookman Old Style"/>
          <w:snapToGrid/>
          <w:szCs w:val="24"/>
        </w:rPr>
        <w:t xml:space="preserve"> 58 percent</w:t>
      </w:r>
      <w:r w:rsidR="001570CA">
        <w:rPr>
          <w:rFonts w:ascii="Bookman Old Style" w:hAnsi="Bookman Old Style"/>
          <w:snapToGrid/>
          <w:szCs w:val="24"/>
        </w:rPr>
        <w:t xml:space="preserve"> of 2019 earnings</w:t>
      </w:r>
      <w:r>
        <w:rPr>
          <w:rFonts w:ascii="Bookman Old Style" w:hAnsi="Bookman Old Style"/>
          <w:snapToGrid/>
          <w:szCs w:val="24"/>
        </w:rPr>
        <w:t xml:space="preserve">, March 57 percent, April 78 percent, May 86 percent, June 40 percent, and July 10 percent. </w:t>
      </w:r>
      <w:r w:rsidR="007A33F1">
        <w:rPr>
          <w:rFonts w:ascii="Bookman Old Style" w:hAnsi="Bookman Old Style"/>
          <w:snapToGrid/>
          <w:szCs w:val="24"/>
        </w:rPr>
        <w:t xml:space="preserve">The claimant’s only work in June and July was work he did for a family member. A large portion of the claimant’s 2019 summer income was doing yard work for an apartment complex.  He did not return to that work in 2020 because the building changed owners and the new owner did the work himself. </w:t>
      </w:r>
    </w:p>
    <w:p w:rsidR="00C83FE0" w:rsidRPr="00C035D6" w:rsidRDefault="00C83FE0" w:rsidP="00E64C4D">
      <w:pPr>
        <w:widowControl/>
        <w:tabs>
          <w:tab w:val="left" w:pos="-1440"/>
          <w:tab w:val="left" w:pos="-720"/>
        </w:tabs>
        <w:rPr>
          <w:rFonts w:ascii="Bookman Old Style" w:hAnsi="Bookman Old Style"/>
          <w:snapToGrid/>
          <w:szCs w:val="24"/>
        </w:rPr>
      </w:pPr>
    </w:p>
    <w:p w:rsidR="00C74902" w:rsidRPr="006F5C64" w:rsidRDefault="00C74902" w:rsidP="00B9578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w:t>
      </w:r>
      <w:proofErr w:type="spellStart"/>
      <w:r w:rsidRPr="00483DDE">
        <w:rPr>
          <w:rFonts w:ascii="Bookman Old Style" w:hAnsi="Bookman Old Style"/>
        </w:rPr>
        <w:t>Peyser</w:t>
      </w:r>
      <w:proofErr w:type="spellEnd"/>
      <w:r w:rsidRPr="00483DDE">
        <w:rPr>
          <w:rFonts w:ascii="Bookman Old Style" w:hAnsi="Bookman Old Style"/>
        </w:rPr>
        <w:t xml:space="preserve">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lastRenderedPageBreak/>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(A) </w:t>
      </w:r>
      <w:proofErr w:type="gramStart"/>
      <w:r w:rsidRPr="00483DDE">
        <w:rPr>
          <w:rFonts w:ascii="Bookman Old Style" w:hAnsi="Bookman Old Style" w:cs="Times"/>
          <w:color w:val="333333"/>
          <w:szCs w:val="24"/>
        </w:rPr>
        <w:t>means</w:t>
      </w:r>
      <w:proofErr w:type="gramEnd"/>
      <w:r w:rsidRPr="00483DDE">
        <w:rPr>
          <w:rFonts w:ascii="Bookman Old Style" w:hAnsi="Bookman Old Style" w:cs="Times"/>
          <w:color w:val="333333"/>
          <w:szCs w:val="24"/>
        </w:rPr>
        <w:t xml:space="preserve">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provides</w:t>
      </w:r>
      <w:proofErr w:type="gramEnd"/>
      <w:r w:rsidRPr="00483DDE">
        <w:rPr>
          <w:rFonts w:ascii="Bookman Old Style" w:hAnsi="Bookman Old Style" w:cs="Times"/>
          <w:color w:val="333333"/>
          <w:szCs w:val="24"/>
        </w:rPr>
        <w:t xml:space="preserve">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aa</w:t>
      </w:r>
      <w:proofErr w:type="gramEnd"/>
      <w:r w:rsidRPr="00483DDE">
        <w:rPr>
          <w:rFonts w:ascii="Bookman Old Style" w:hAnsi="Bookman Old Style" w:cs="Times"/>
          <w:color w:val="333333"/>
          <w:szCs w:val="24"/>
        </w:rPr>
        <w:t>)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bb</w:t>
      </w:r>
      <w:proofErr w:type="gramEnd"/>
      <w:r w:rsidRPr="00483DDE">
        <w:rPr>
          <w:rFonts w:ascii="Bookman Old Style" w:hAnsi="Bookman Old Style" w:cs="Times"/>
          <w:color w:val="333333"/>
          <w:szCs w:val="24"/>
        </w:rPr>
        <w:t>)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dd</w:t>
      </w:r>
      <w:proofErr w:type="spellEnd"/>
      <w:r w:rsidRPr="00483DDE">
        <w:rPr>
          <w:rFonts w:ascii="Bookman Old Style" w:hAnsi="Bookman Old Style" w:cs="Times"/>
          <w:color w:val="333333"/>
          <w:szCs w:val="24"/>
        </w:rPr>
        <w:t>)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ee</w:t>
      </w:r>
      <w:proofErr w:type="spellEnd"/>
      <w:proofErr w:type="gramEnd"/>
      <w:r w:rsidRPr="00483DDE">
        <w:rPr>
          <w:rFonts w:ascii="Bookman Old Style" w:hAnsi="Bookman Old Style" w:cs="Times"/>
          <w:color w:val="333333"/>
          <w:szCs w:val="24"/>
        </w:rPr>
        <w:t>)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ff</w:t>
      </w:r>
      <w:proofErr w:type="spellEnd"/>
      <w:proofErr w:type="gramEnd"/>
      <w:r w:rsidRPr="00483DDE">
        <w:rPr>
          <w:rFonts w:ascii="Bookman Old Style" w:hAnsi="Bookman Old Style" w:cs="Times"/>
          <w:color w:val="333333"/>
          <w:szCs w:val="24"/>
        </w:rPr>
        <w:t>)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gg</w:t>
      </w:r>
      <w:proofErr w:type="gramEnd"/>
      <w:r w:rsidRPr="00483DDE">
        <w:rPr>
          <w:rFonts w:ascii="Bookman Old Style" w:hAnsi="Bookman Old Style" w:cs="Times"/>
          <w:color w:val="333333"/>
          <w:szCs w:val="24"/>
        </w:rPr>
        <w:t>)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hh</w:t>
      </w:r>
      <w:proofErr w:type="spellEnd"/>
      <w:proofErr w:type="gramEnd"/>
      <w:r w:rsidRPr="00483DDE">
        <w:rPr>
          <w:rFonts w:ascii="Bookman Old Style" w:hAnsi="Bookman Old Style" w:cs="Times"/>
          <w:color w:val="333333"/>
          <w:szCs w:val="24"/>
        </w:rPr>
        <w:t xml:space="preserve">) the individual has become the breadwinner or major support for a household because the head of the household has died as a direct result of </w:t>
      </w:r>
      <w:r w:rsidRPr="00483DDE">
        <w:rPr>
          <w:rFonts w:ascii="Bookman Old Style" w:hAnsi="Bookman Old Style" w:cs="Times"/>
          <w:color w:val="333333"/>
          <w:szCs w:val="24"/>
        </w:rPr>
        <w:lastRenderedPageBreak/>
        <w:t>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the</w:t>
      </w:r>
      <w:proofErr w:type="gramEnd"/>
      <w:r w:rsidRPr="00483DDE">
        <w:rPr>
          <w:rFonts w:ascii="Bookman Old Style" w:hAnsi="Bookman Old Style" w:cs="Times"/>
          <w:color w:val="333333"/>
          <w:szCs w:val="24"/>
        </w:rPr>
        <w:t xml:space="preserv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jj</w:t>
      </w:r>
      <w:proofErr w:type="spellEnd"/>
      <w:proofErr w:type="gramEnd"/>
      <w:r w:rsidRPr="00483DDE">
        <w:rPr>
          <w:rFonts w:ascii="Bookman Old Style" w:hAnsi="Bookman Old Style" w:cs="Times"/>
          <w:color w:val="333333"/>
          <w:szCs w:val="24"/>
        </w:rPr>
        <w:t>)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kk</w:t>
      </w:r>
      <w:proofErr w:type="spellEnd"/>
      <w:proofErr w:type="gramEnd"/>
      <w:r w:rsidRPr="00483DDE">
        <w:rPr>
          <w:rFonts w:ascii="Bookman Old Style" w:hAnsi="Bookman Old Style" w:cs="Times"/>
          <w:color w:val="333333"/>
          <w:szCs w:val="24"/>
        </w:rPr>
        <w:t>)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w:t>
      </w:r>
      <w:proofErr w:type="spellStart"/>
      <w:r w:rsidRPr="00483DDE">
        <w:rPr>
          <w:rFonts w:ascii="Bookman Old Style" w:hAnsi="Bookman Old Style" w:cs="Times"/>
          <w:color w:val="333333"/>
          <w:szCs w:val="24"/>
        </w:rPr>
        <w:t>subclause</w:t>
      </w:r>
      <w:proofErr w:type="spellEnd"/>
      <w:r w:rsidRPr="00483DDE">
        <w:rPr>
          <w:rFonts w:ascii="Bookman Old Style" w:hAnsi="Bookman Old Style" w:cs="Times"/>
          <w:color w:val="333333"/>
          <w:szCs w:val="24"/>
        </w:rPr>
        <w:t xml:space="preserv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(B) </w:t>
      </w:r>
      <w:proofErr w:type="gramStart"/>
      <w:r w:rsidRPr="00483DDE">
        <w:rPr>
          <w:rFonts w:ascii="Bookman Old Style" w:hAnsi="Bookman Old Style" w:cs="Times"/>
          <w:color w:val="333333"/>
          <w:szCs w:val="24"/>
        </w:rPr>
        <w:t>does</w:t>
      </w:r>
      <w:proofErr w:type="gramEnd"/>
      <w:r w:rsidRPr="00483DDE">
        <w:rPr>
          <w:rFonts w:ascii="Bookman Old Style" w:hAnsi="Bookman Old Style" w:cs="Times"/>
          <w:color w:val="333333"/>
          <w:szCs w:val="24"/>
        </w:rPr>
        <w:t xml:space="preserve">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xml:space="preserve">) </w:t>
      </w:r>
      <w:proofErr w:type="gramStart"/>
      <w:r w:rsidRPr="00483DDE">
        <w:rPr>
          <w:rFonts w:ascii="Bookman Old Style" w:hAnsi="Bookman Old Style" w:cs="Times"/>
          <w:color w:val="333333"/>
          <w:szCs w:val="24"/>
        </w:rPr>
        <w:t>an</w:t>
      </w:r>
      <w:proofErr w:type="gramEnd"/>
      <w:r w:rsidRPr="00483DDE">
        <w:rPr>
          <w:rFonts w:ascii="Bookman Old Style" w:hAnsi="Bookman Old Style" w:cs="Times"/>
          <w:color w:val="333333"/>
          <w:szCs w:val="24"/>
        </w:rPr>
        <w:t xml:space="preserve">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w:t>
      </w:r>
      <w:proofErr w:type="spellStart"/>
      <w:r w:rsidRPr="00483DDE">
        <w:rPr>
          <w:rFonts w:ascii="Bookman Old Style" w:hAnsi="Bookman Old Style" w:cs="Times"/>
          <w:color w:val="333333"/>
          <w:szCs w:val="24"/>
        </w:rPr>
        <w:t>kk</w:t>
      </w:r>
      <w:proofErr w:type="spellEnd"/>
      <w:r w:rsidRPr="00483DDE">
        <w:rPr>
          <w:rFonts w:ascii="Bookman Old Style" w:hAnsi="Bookman Old Style" w:cs="Times"/>
          <w:color w:val="333333"/>
          <w:szCs w:val="24"/>
        </w:rPr>
        <w:t>) of subparagraph (A)(</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Pr="00926172" w:rsidRDefault="00926172" w:rsidP="00926172">
      <w:pPr>
        <w:shd w:val="clear" w:color="auto" w:fill="FFFFFF"/>
        <w:spacing w:before="100" w:beforeAutospacing="1" w:after="100" w:afterAutospacing="1"/>
        <w:rPr>
          <w:rFonts w:ascii="Bookman Old Style" w:hAnsi="Bookman Old Style" w:cs="Times"/>
          <w:bCs/>
          <w:szCs w:val="24"/>
        </w:rPr>
      </w:pPr>
      <w:r w:rsidRPr="00926172">
        <w:rPr>
          <w:rFonts w:ascii="Bookman Old Style" w:hAnsi="Bookman Old Style"/>
        </w:rPr>
        <w:t>Clarification on item (</w:t>
      </w:r>
      <w:proofErr w:type="spellStart"/>
      <w:r w:rsidRPr="00926172">
        <w:rPr>
          <w:rFonts w:ascii="Bookman Old Style" w:hAnsi="Bookman Old Style"/>
        </w:rPr>
        <w:t>kk</w:t>
      </w:r>
      <w:proofErr w:type="spellEnd"/>
      <w:r w:rsidRPr="00926172">
        <w:rPr>
          <w:rFonts w:ascii="Bookman Old Style" w:hAnsi="Bookman Old Style"/>
        </w:rPr>
        <w:t>) of acceptable COVID-19 related reasons. Section 2102(a</w:t>
      </w:r>
      <w:proofErr w:type="gramStart"/>
      <w:r w:rsidRPr="00926172">
        <w:rPr>
          <w:rFonts w:ascii="Bookman Old Style" w:hAnsi="Bookman Old Style"/>
        </w:rPr>
        <w:t>)(</w:t>
      </w:r>
      <w:proofErr w:type="gramEnd"/>
      <w:r w:rsidRPr="00926172">
        <w:rPr>
          <w:rFonts w:ascii="Bookman Old Style" w:hAnsi="Bookman Old Style"/>
        </w:rPr>
        <w:t>3)(A)(ii)(I)(</w:t>
      </w:r>
      <w:proofErr w:type="spellStart"/>
      <w:r w:rsidRPr="00926172">
        <w:rPr>
          <w:rFonts w:ascii="Bookman Old Style" w:hAnsi="Bookman Old Style"/>
        </w:rPr>
        <w:t>kk</w:t>
      </w:r>
      <w:proofErr w:type="spellEnd"/>
      <w:r w:rsidRPr="00926172">
        <w:rPr>
          <w:rFonts w:ascii="Bookman Old Style" w:hAnsi="Bookman Old Style"/>
        </w:rPr>
        <w:t xml:space="preserve">)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w:t>
      </w:r>
      <w:proofErr w:type="spellStart"/>
      <w:r w:rsidRPr="00926172">
        <w:rPr>
          <w:rFonts w:ascii="Bookman Old Style" w:hAnsi="Bookman Old Style"/>
        </w:rPr>
        <w:t>kk</w:t>
      </w:r>
      <w:proofErr w:type="spellEnd"/>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Default="00B95782" w:rsidP="00B95782">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w:t>
      </w:r>
      <w:r>
        <w:rPr>
          <w:rFonts w:ascii="Bookman Old Style" w:hAnsi="Bookman Old Style"/>
        </w:rPr>
        <w:lastRenderedPageBreak/>
        <w:t xml:space="preserve">pandemic. The claimant in this case has not recently worked in covered employment that would qualify </w:t>
      </w:r>
      <w:r w:rsidR="00F15F65">
        <w:rPr>
          <w:rFonts w:ascii="Bookman Old Style" w:hAnsi="Bookman Old Style"/>
          <w:snapToGrid/>
          <w:szCs w:val="24"/>
        </w:rPr>
        <w:t>him</w:t>
      </w:r>
      <w:r>
        <w:rPr>
          <w:rFonts w:ascii="Bookman Old Style" w:hAnsi="Bookman Old Style"/>
        </w:rPr>
        <w:t xml:space="preserve"> for a claim for regular unemployment benefits. </w:t>
      </w:r>
    </w:p>
    <w:p w:rsidR="00F15F65" w:rsidRDefault="00F15F65" w:rsidP="00B95782">
      <w:pPr>
        <w:widowControl/>
        <w:rPr>
          <w:rFonts w:ascii="Bookman Old Style" w:hAnsi="Bookman Old Style"/>
        </w:rPr>
      </w:pPr>
    </w:p>
    <w:p w:rsidR="00F15F65" w:rsidRDefault="00F15F65" w:rsidP="00B95782">
      <w:pPr>
        <w:widowControl/>
        <w:rPr>
          <w:rFonts w:ascii="Bookman Old Style" w:hAnsi="Bookman Old Style"/>
        </w:rPr>
      </w:pPr>
      <w:r>
        <w:rPr>
          <w:rFonts w:ascii="Bookman Old Style" w:hAnsi="Bookman Old Style"/>
        </w:rPr>
        <w:t xml:space="preserve">The claimant held that he experienced a significant diminution of services in his self-employment because of the COVID-19 pandemic because jobs were cancelled and he was not allowed to distribute advertising flyers to seek work in residential areas.  </w:t>
      </w:r>
    </w:p>
    <w:p w:rsidR="00F15F65" w:rsidRDefault="00F15F65" w:rsidP="00B95782">
      <w:pPr>
        <w:widowControl/>
        <w:rPr>
          <w:rFonts w:ascii="Bookman Old Style" w:hAnsi="Bookman Old Style"/>
        </w:rPr>
      </w:pPr>
    </w:p>
    <w:p w:rsidR="00B743FD" w:rsidRDefault="00F15F65" w:rsidP="00B95782">
      <w:pPr>
        <w:widowControl/>
        <w:rPr>
          <w:rFonts w:ascii="Bookman Old Style" w:hAnsi="Bookman Old Style"/>
        </w:rPr>
      </w:pPr>
      <w:r>
        <w:rPr>
          <w:rFonts w:ascii="Bookman Old Style" w:hAnsi="Bookman Old Style"/>
        </w:rPr>
        <w:t>Guidance from the US Department of Labor in UIPL 1620 Change 2, above, holds that a self-employed claimant who experiences a significant diminution in services as a direct result of the pandemic may be considered a covered individual. The claimant established that his ability to perform his work was significantly impacted by the pandemic in</w:t>
      </w:r>
      <w:r w:rsidR="0051177C">
        <w:rPr>
          <w:rFonts w:ascii="Bookman Old Style" w:hAnsi="Bookman Old Style"/>
        </w:rPr>
        <w:t xml:space="preserve"> </w:t>
      </w:r>
      <w:r w:rsidR="008E1DFA">
        <w:rPr>
          <w:rFonts w:ascii="Bookman Old Style" w:hAnsi="Bookman Old Style"/>
        </w:rPr>
        <w:t xml:space="preserve">February and </w:t>
      </w:r>
      <w:r>
        <w:rPr>
          <w:rFonts w:ascii="Bookman Old Style" w:hAnsi="Bookman Old Style"/>
        </w:rPr>
        <w:t>March 2020, however his income from self-employment was not significantly diminished in April and May 2020 when he earned 78 and 86 percent of his previous year’s income</w:t>
      </w:r>
      <w:r w:rsidR="00B743FD">
        <w:rPr>
          <w:rFonts w:ascii="Bookman Old Style" w:hAnsi="Bookman Old Style"/>
        </w:rPr>
        <w:t>, respectively</w:t>
      </w:r>
      <w:r>
        <w:rPr>
          <w:rFonts w:ascii="Bookman Old Style" w:hAnsi="Bookman Old Style"/>
        </w:rPr>
        <w:t xml:space="preserve">. </w:t>
      </w:r>
    </w:p>
    <w:p w:rsidR="00B743FD" w:rsidRDefault="00B743FD" w:rsidP="00B95782">
      <w:pPr>
        <w:widowControl/>
        <w:rPr>
          <w:rFonts w:ascii="Bookman Old Style" w:hAnsi="Bookman Old Style"/>
        </w:rPr>
      </w:pPr>
    </w:p>
    <w:p w:rsidR="00F15F65" w:rsidRDefault="00F15F65" w:rsidP="00B95782">
      <w:pPr>
        <w:widowControl/>
        <w:rPr>
          <w:rFonts w:ascii="Bookman Old Style" w:hAnsi="Bookman Old Style"/>
        </w:rPr>
      </w:pPr>
      <w:r>
        <w:rPr>
          <w:rFonts w:ascii="Bookman Old Style" w:hAnsi="Bookman Old Style"/>
        </w:rPr>
        <w:t>The claimant’</w:t>
      </w:r>
      <w:r w:rsidR="00B743FD">
        <w:rPr>
          <w:rFonts w:ascii="Bookman Old Style" w:hAnsi="Bookman Old Style"/>
        </w:rPr>
        <w:t xml:space="preserve">s services were </w:t>
      </w:r>
      <w:r>
        <w:rPr>
          <w:rFonts w:ascii="Bookman Old Style" w:hAnsi="Bookman Old Style"/>
        </w:rPr>
        <w:t xml:space="preserve">significantly diminished </w:t>
      </w:r>
      <w:r w:rsidR="00B743FD">
        <w:rPr>
          <w:rFonts w:ascii="Bookman Old Style" w:hAnsi="Bookman Old Style"/>
        </w:rPr>
        <w:t xml:space="preserve">in June and July of 2020 when he earned seven and ten percent of his previous year’s </w:t>
      </w:r>
      <w:r w:rsidR="0051177C">
        <w:rPr>
          <w:rFonts w:ascii="Bookman Old Style" w:hAnsi="Bookman Old Style"/>
        </w:rPr>
        <w:t xml:space="preserve">income, respectively, however, the claimant did not establish that the pandemic was the reason for his drop in services during those months. He was not prevented by mandates from handing out flyers to find work during those months.  Part of his decrease during those months was the lack of yard work he had previously performed, but this loss of work was not </w:t>
      </w:r>
      <w:r w:rsidR="00BF6734">
        <w:rPr>
          <w:rFonts w:ascii="Bookman Old Style" w:hAnsi="Bookman Old Style"/>
        </w:rPr>
        <w:t>established to be</w:t>
      </w:r>
      <w:r w:rsidR="0051177C">
        <w:rPr>
          <w:rFonts w:ascii="Bookman Old Style" w:hAnsi="Bookman Old Style"/>
        </w:rPr>
        <w:t xml:space="preserve"> COVID-19 related. </w:t>
      </w:r>
    </w:p>
    <w:p w:rsidR="0051177C" w:rsidRDefault="0051177C" w:rsidP="00B95782">
      <w:pPr>
        <w:widowControl/>
        <w:rPr>
          <w:rFonts w:ascii="Bookman Old Style" w:hAnsi="Bookman Old Style"/>
        </w:rPr>
      </w:pPr>
    </w:p>
    <w:p w:rsidR="0051177C" w:rsidRPr="00E1431E" w:rsidRDefault="0051177C" w:rsidP="00B95782">
      <w:pPr>
        <w:widowControl/>
        <w:rPr>
          <w:rFonts w:ascii="Bookman Old Style" w:hAnsi="Bookman Old Style"/>
        </w:rPr>
      </w:pPr>
      <w:r>
        <w:rPr>
          <w:rFonts w:ascii="Bookman Old Style" w:hAnsi="Bookman Old Style"/>
        </w:rPr>
        <w:t xml:space="preserve">The Tribunal finds the claimant meets the definition of a “covered individual” effective the beginning date of that program, February </w:t>
      </w:r>
      <w:r w:rsidR="00BF6734">
        <w:rPr>
          <w:rFonts w:ascii="Bookman Old Style" w:hAnsi="Bookman Old Style"/>
        </w:rPr>
        <w:t>2, 2020, and continuing through the end of March, 2020.</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16206D" w:rsidRDefault="003F54EA" w:rsidP="0051177C">
      <w:pPr>
        <w:tabs>
          <w:tab w:val="left" w:pos="-1440"/>
          <w:tab w:val="left" w:pos="-720"/>
        </w:tabs>
        <w:suppressAutoHyphens/>
        <w:ind w:right="-360"/>
        <w:rPr>
          <w:rFonts w:ascii="Bookman Old Style" w:hAnsi="Bookman Old Style"/>
        </w:rPr>
      </w:pPr>
      <w:r w:rsidRPr="003F54EA">
        <w:rPr>
          <w:rFonts w:ascii="Bookman Old Style" w:hAnsi="Bookman Old Style"/>
          <w:snapToGrid/>
          <w:szCs w:val="24"/>
        </w:rPr>
        <w:t xml:space="preserve">The determination issued on </w:t>
      </w:r>
      <w:r w:rsidR="00B743FD">
        <w:rPr>
          <w:rFonts w:ascii="Bookman Old Style" w:hAnsi="Bookman Old Style"/>
          <w:snapToGrid/>
          <w:szCs w:val="24"/>
        </w:rPr>
        <w:t>July 8, 2020</w:t>
      </w:r>
      <w:r w:rsidRPr="003F54EA">
        <w:rPr>
          <w:rFonts w:ascii="Bookman Old Style" w:hAnsi="Bookman Old Style"/>
          <w:snapToGrid/>
          <w:szCs w:val="24"/>
        </w:rPr>
        <w:t xml:space="preserve"> is </w:t>
      </w:r>
      <w:r w:rsidR="00B743FD">
        <w:rPr>
          <w:rFonts w:ascii="Bookman Old Style" w:hAnsi="Bookman Old Style"/>
          <w:b/>
          <w:snapToGrid/>
          <w:szCs w:val="24"/>
        </w:rPr>
        <w:t>MODIFIED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B743FD">
        <w:rPr>
          <w:rFonts w:ascii="Bookman Old Style" w:hAnsi="Bookman Old Style"/>
        </w:rPr>
        <w:t>is</w:t>
      </w:r>
      <w:r w:rsidR="00483DDE">
        <w:rPr>
          <w:rFonts w:ascii="Bookman Old Style" w:hAnsi="Bookman Old Style"/>
          <w:snapToGrid/>
          <w:szCs w:val="24"/>
        </w:rPr>
        <w:t xml:space="preserve"> eligible for benefits from the Pandemic Unemployment Assistance (PUA) program</w:t>
      </w:r>
      <w:r w:rsidR="00B743FD" w:rsidRPr="00B743FD">
        <w:rPr>
          <w:rFonts w:ascii="Bookman Old Style" w:hAnsi="Bookman Old Style"/>
        </w:rPr>
        <w:t xml:space="preserve"> </w:t>
      </w:r>
      <w:r w:rsidR="00B743FD">
        <w:rPr>
          <w:rFonts w:ascii="Bookman Old Style" w:hAnsi="Bookman Old Style"/>
        </w:rPr>
        <w:t xml:space="preserve">the weeks ending </w:t>
      </w:r>
      <w:r w:rsidR="00BF6734">
        <w:rPr>
          <w:rFonts w:ascii="Bookman Old Style" w:hAnsi="Bookman Old Style"/>
        </w:rPr>
        <w:t>February 8, 2020 through</w:t>
      </w:r>
      <w:r w:rsidR="00B743FD">
        <w:rPr>
          <w:rFonts w:ascii="Bookman Old Style" w:hAnsi="Bookman Old Style"/>
        </w:rPr>
        <w:t xml:space="preserve"> March 28, </w:t>
      </w:r>
      <w:r w:rsidR="0051177C">
        <w:rPr>
          <w:rFonts w:ascii="Bookman Old Style" w:hAnsi="Bookman Old Style"/>
        </w:rPr>
        <w:t xml:space="preserve">2020. </w:t>
      </w:r>
    </w:p>
    <w:p w:rsidR="00BF6734" w:rsidRDefault="00BF6734" w:rsidP="0051177C">
      <w:pPr>
        <w:tabs>
          <w:tab w:val="left" w:pos="-1440"/>
          <w:tab w:val="left" w:pos="-720"/>
        </w:tabs>
        <w:suppressAutoHyphens/>
        <w:ind w:right="-360"/>
        <w:rPr>
          <w:rFonts w:ascii="Bookman Old Style" w:hAnsi="Bookman Old Style"/>
        </w:rPr>
      </w:pPr>
    </w:p>
    <w:p w:rsidR="00BF6734" w:rsidRDefault="00BF6734" w:rsidP="0051177C">
      <w:pPr>
        <w:tabs>
          <w:tab w:val="left" w:pos="-1440"/>
          <w:tab w:val="left" w:pos="-720"/>
        </w:tabs>
        <w:suppressAutoHyphens/>
        <w:ind w:right="-360"/>
        <w:rPr>
          <w:rFonts w:ascii="Bookman Old Style" w:hAnsi="Bookman Old Style"/>
        </w:rPr>
      </w:pPr>
      <w:r>
        <w:rPr>
          <w:rFonts w:ascii="Bookman Old Style" w:hAnsi="Bookman Old Style"/>
        </w:rPr>
        <w:t xml:space="preserve">The matter is </w:t>
      </w:r>
      <w:r w:rsidRPr="00BF6734">
        <w:rPr>
          <w:rFonts w:ascii="Bookman Old Style" w:hAnsi="Bookman Old Style"/>
          <w:b/>
        </w:rPr>
        <w:t>REMANDED</w:t>
      </w:r>
      <w:r>
        <w:rPr>
          <w:rFonts w:ascii="Bookman Old Style" w:hAnsi="Bookman Old Style"/>
        </w:rPr>
        <w:t xml:space="preserve"> to the Division to </w:t>
      </w:r>
      <w:r w:rsidR="008E1DFA">
        <w:rPr>
          <w:rFonts w:ascii="Bookman Old Style" w:hAnsi="Bookman Old Style"/>
        </w:rPr>
        <w:t xml:space="preserve">change the effective date of the claimant’s PUA claim to February 2, 2020. The Division is to </w:t>
      </w:r>
      <w:r>
        <w:rPr>
          <w:rFonts w:ascii="Bookman Old Style" w:hAnsi="Bookman Old Style"/>
        </w:rPr>
        <w:t xml:space="preserve">contact the claimant and assist him to file certifications for any weeks during his eligibility period for which he has not previously filed certifications. </w:t>
      </w:r>
    </w:p>
    <w:p w:rsidR="00BF6734" w:rsidRDefault="00BF6734" w:rsidP="0051177C">
      <w:pPr>
        <w:tabs>
          <w:tab w:val="left" w:pos="-1440"/>
          <w:tab w:val="left" w:pos="-720"/>
        </w:tabs>
        <w:suppressAutoHyphens/>
        <w:ind w:right="-360"/>
        <w:rPr>
          <w:rFonts w:ascii="Bookman Old Style" w:hAnsi="Bookman Old Style"/>
        </w:rPr>
      </w:pPr>
    </w:p>
    <w:p w:rsidR="00BF6734" w:rsidRPr="00B743FD" w:rsidRDefault="00BF6734" w:rsidP="0051177C">
      <w:pPr>
        <w:tabs>
          <w:tab w:val="left" w:pos="-1440"/>
          <w:tab w:val="left" w:pos="-720"/>
        </w:tabs>
        <w:suppressAutoHyphens/>
        <w:ind w:right="-360"/>
        <w:rPr>
          <w:rFonts w:ascii="Bookman Old Style" w:hAnsi="Bookman Old Style"/>
          <w:snapToGrid/>
          <w:szCs w:val="24"/>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lastRenderedPageBreak/>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DF0833">
        <w:rPr>
          <w:rFonts w:ascii="Bookman Old Style" w:hAnsi="Bookman Old Style"/>
          <w:szCs w:val="24"/>
        </w:rPr>
        <w:t>January 5, 2021</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B743FD">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39D" w:rsidRDefault="0027039D">
      <w:pPr>
        <w:widowControl/>
        <w:spacing w:line="20" w:lineRule="exact"/>
      </w:pPr>
    </w:p>
  </w:endnote>
  <w:endnote w:type="continuationSeparator" w:id="0">
    <w:p w:rsidR="0027039D" w:rsidRDefault="0027039D">
      <w:r>
        <w:t xml:space="preserve"> </w:t>
      </w:r>
    </w:p>
  </w:endnote>
  <w:endnote w:type="continuationNotice" w:id="1">
    <w:p w:rsidR="0027039D" w:rsidRDefault="002703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B7" w:rsidRDefault="002A2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B7" w:rsidRDefault="002A2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B7" w:rsidRDefault="002A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39D" w:rsidRDefault="0027039D">
      <w:r>
        <w:separator/>
      </w:r>
    </w:p>
  </w:footnote>
  <w:footnote w:type="continuationSeparator" w:id="0">
    <w:p w:rsidR="0027039D" w:rsidRDefault="0027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B7" w:rsidRDefault="002A2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BF6AEB">
      <w:rPr>
        <w:rFonts w:ascii="Bookman Old Style" w:hAnsi="Bookman Old Style"/>
        <w:sz w:val="22"/>
      </w:rPr>
      <w:t>P20 215</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BE0461">
      <w:rPr>
        <w:rStyle w:val="PageNumber"/>
        <w:rFonts w:ascii="Bookman Old Style" w:hAnsi="Bookman Old Style"/>
        <w:noProof/>
        <w:sz w:val="22"/>
      </w:rPr>
      <w:t>6</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6B7" w:rsidRDefault="002A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9D"/>
    <w:rsid w:val="00015E49"/>
    <w:rsid w:val="00074ABC"/>
    <w:rsid w:val="000B1B0E"/>
    <w:rsid w:val="000C468C"/>
    <w:rsid w:val="001570CA"/>
    <w:rsid w:val="0016206D"/>
    <w:rsid w:val="00184E40"/>
    <w:rsid w:val="001E0352"/>
    <w:rsid w:val="001E0872"/>
    <w:rsid w:val="001F25F2"/>
    <w:rsid w:val="00220C00"/>
    <w:rsid w:val="0023506F"/>
    <w:rsid w:val="00246F0A"/>
    <w:rsid w:val="002604BE"/>
    <w:rsid w:val="00261254"/>
    <w:rsid w:val="00265876"/>
    <w:rsid w:val="00266979"/>
    <w:rsid w:val="0027039D"/>
    <w:rsid w:val="00290A95"/>
    <w:rsid w:val="0029387F"/>
    <w:rsid w:val="002A26B7"/>
    <w:rsid w:val="002C3038"/>
    <w:rsid w:val="00301A4C"/>
    <w:rsid w:val="00307513"/>
    <w:rsid w:val="0030752B"/>
    <w:rsid w:val="00314A4A"/>
    <w:rsid w:val="003340A2"/>
    <w:rsid w:val="00335286"/>
    <w:rsid w:val="0034160B"/>
    <w:rsid w:val="00360CCE"/>
    <w:rsid w:val="0037410D"/>
    <w:rsid w:val="00395ECA"/>
    <w:rsid w:val="003A08AE"/>
    <w:rsid w:val="003A0E29"/>
    <w:rsid w:val="003C3EA6"/>
    <w:rsid w:val="003E333B"/>
    <w:rsid w:val="003F54EA"/>
    <w:rsid w:val="004134B5"/>
    <w:rsid w:val="00414E35"/>
    <w:rsid w:val="00440F6D"/>
    <w:rsid w:val="00454952"/>
    <w:rsid w:val="00477B3C"/>
    <w:rsid w:val="00483DDE"/>
    <w:rsid w:val="0051177C"/>
    <w:rsid w:val="005507C2"/>
    <w:rsid w:val="005840C2"/>
    <w:rsid w:val="005A25FF"/>
    <w:rsid w:val="005D69D2"/>
    <w:rsid w:val="005E68FF"/>
    <w:rsid w:val="006B044C"/>
    <w:rsid w:val="006B6284"/>
    <w:rsid w:val="006C6858"/>
    <w:rsid w:val="006E42A3"/>
    <w:rsid w:val="006E4A6A"/>
    <w:rsid w:val="006E5123"/>
    <w:rsid w:val="006E67C4"/>
    <w:rsid w:val="006F5C64"/>
    <w:rsid w:val="007264A1"/>
    <w:rsid w:val="00781D4B"/>
    <w:rsid w:val="007A33F1"/>
    <w:rsid w:val="00803703"/>
    <w:rsid w:val="00845F5C"/>
    <w:rsid w:val="0089544B"/>
    <w:rsid w:val="008B5144"/>
    <w:rsid w:val="008C7255"/>
    <w:rsid w:val="008C7BCB"/>
    <w:rsid w:val="008E1DFA"/>
    <w:rsid w:val="00911751"/>
    <w:rsid w:val="00926172"/>
    <w:rsid w:val="009312D8"/>
    <w:rsid w:val="00965B24"/>
    <w:rsid w:val="0099558B"/>
    <w:rsid w:val="009B3837"/>
    <w:rsid w:val="009E7193"/>
    <w:rsid w:val="00A94C46"/>
    <w:rsid w:val="00AC29BB"/>
    <w:rsid w:val="00AC4900"/>
    <w:rsid w:val="00AF5EA2"/>
    <w:rsid w:val="00B14588"/>
    <w:rsid w:val="00B743FD"/>
    <w:rsid w:val="00B879FC"/>
    <w:rsid w:val="00B95782"/>
    <w:rsid w:val="00BE0461"/>
    <w:rsid w:val="00BE5A90"/>
    <w:rsid w:val="00BF0040"/>
    <w:rsid w:val="00BF1D42"/>
    <w:rsid w:val="00BF6734"/>
    <w:rsid w:val="00BF6AEB"/>
    <w:rsid w:val="00C1740A"/>
    <w:rsid w:val="00C5117C"/>
    <w:rsid w:val="00C5371D"/>
    <w:rsid w:val="00C74902"/>
    <w:rsid w:val="00C83FE0"/>
    <w:rsid w:val="00C841ED"/>
    <w:rsid w:val="00CB34CC"/>
    <w:rsid w:val="00D127A1"/>
    <w:rsid w:val="00D1304C"/>
    <w:rsid w:val="00D2605C"/>
    <w:rsid w:val="00D27A56"/>
    <w:rsid w:val="00D50F53"/>
    <w:rsid w:val="00D77780"/>
    <w:rsid w:val="00DA110F"/>
    <w:rsid w:val="00DE12B1"/>
    <w:rsid w:val="00DF0833"/>
    <w:rsid w:val="00DF6AEB"/>
    <w:rsid w:val="00E1431E"/>
    <w:rsid w:val="00E1587B"/>
    <w:rsid w:val="00E20135"/>
    <w:rsid w:val="00E231DF"/>
    <w:rsid w:val="00E32235"/>
    <w:rsid w:val="00E460EE"/>
    <w:rsid w:val="00E64C4D"/>
    <w:rsid w:val="00E70835"/>
    <w:rsid w:val="00EB1300"/>
    <w:rsid w:val="00ED08F3"/>
    <w:rsid w:val="00EE536D"/>
    <w:rsid w:val="00EF0CCE"/>
    <w:rsid w:val="00EF3FC3"/>
    <w:rsid w:val="00F00EDF"/>
    <w:rsid w:val="00F15F65"/>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581D16"/>
  <w15:chartTrackingRefBased/>
  <w15:docId w15:val="{43AD66BF-B246-4F4F-82F9-220D4D3E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character" w:styleId="Hyperlink">
    <w:name w:val="Hyperlink"/>
    <w:basedOn w:val="DefaultParagraphFont"/>
    <w:uiPriority w:val="99"/>
    <w:unhideWhenUsed/>
    <w:rsid w:val="007A33F1"/>
    <w:rPr>
      <w:color w:val="0563C1" w:themeColor="hyperlink"/>
      <w:u w:val="single"/>
    </w:rPr>
  </w:style>
  <w:style w:type="paragraph" w:styleId="BalloonText">
    <w:name w:val="Balloon Text"/>
    <w:basedOn w:val="Normal"/>
    <w:link w:val="BalloonTextChar"/>
    <w:uiPriority w:val="99"/>
    <w:semiHidden/>
    <w:unhideWhenUsed/>
    <w:rsid w:val="00BE0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6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4D93-7382-4EBD-8A4F-79F9F4AA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Template>
  <TotalTime>0</TotalTime>
  <Pages>6</Pages>
  <Words>1801</Words>
  <Characters>9750</Characters>
  <Application>Microsoft Office Word</Application>
  <DocSecurity>0</DocSecurity>
  <Lines>226</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2021-01-06T00:16:00Z</cp:lastPrinted>
  <dcterms:created xsi:type="dcterms:W3CDTF">2021-01-06T00:17:00Z</dcterms:created>
  <dcterms:modified xsi:type="dcterms:W3CDTF">2021-01-06T00:17:00Z</dcterms:modified>
</cp:coreProperties>
</file>