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03D51" w14:textId="77777777" w:rsidR="005E68FF" w:rsidRDefault="00BE360A" w:rsidP="005E68FF">
      <w:pPr>
        <w:widowControl/>
        <w:tabs>
          <w:tab w:val="center" w:pos="4680"/>
        </w:tabs>
        <w:suppressAutoHyphens/>
        <w:jc w:val="center"/>
        <w:rPr>
          <w:rFonts w:ascii="Bookman Old Style" w:hAnsi="Bookman Old Style"/>
          <w:b/>
        </w:rPr>
      </w:pPr>
      <w:r>
        <w:rPr>
          <w:rFonts w:ascii="Bookman Old Style" w:hAnsi="Bookman Old Style"/>
          <w:b/>
          <w:noProof/>
          <w:snapToGrid/>
        </w:rPr>
        <w:pict w14:anchorId="2BC17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1.1pt;margin-top:-5.85pt;width:586.9pt;height:137.8pt;z-index:-251658752">
            <v:imagedata r:id="rId7" o:title="Appeals_Letterhead_Banner"/>
          </v:shape>
        </w:pict>
      </w:r>
    </w:p>
    <w:p w14:paraId="266CEF7E" w14:textId="77777777" w:rsidR="005E68FF" w:rsidRDefault="005E68FF" w:rsidP="005E68FF">
      <w:pPr>
        <w:pStyle w:val="Heading3"/>
        <w:widowControl/>
        <w:tabs>
          <w:tab w:val="center" w:pos="4680"/>
        </w:tabs>
        <w:suppressAutoHyphens/>
        <w:rPr>
          <w:rFonts w:ascii="Bookman Old Style" w:hAnsi="Bookman Old Style"/>
        </w:rPr>
      </w:pPr>
    </w:p>
    <w:p w14:paraId="3C2C8EEA" w14:textId="77777777" w:rsidR="005E68FF" w:rsidRDefault="005E68FF" w:rsidP="005E68FF">
      <w:pPr>
        <w:pStyle w:val="Heading3"/>
        <w:widowControl/>
        <w:tabs>
          <w:tab w:val="center" w:pos="4680"/>
        </w:tabs>
        <w:suppressAutoHyphens/>
        <w:rPr>
          <w:rFonts w:ascii="Bookman Old Style" w:hAnsi="Bookman Old Style"/>
        </w:rPr>
      </w:pPr>
    </w:p>
    <w:p w14:paraId="14736E31" w14:textId="77777777" w:rsidR="005E68FF" w:rsidRDefault="005E68FF" w:rsidP="005E68FF">
      <w:pPr>
        <w:pStyle w:val="Heading3"/>
        <w:widowControl/>
        <w:tabs>
          <w:tab w:val="center" w:pos="4680"/>
        </w:tabs>
        <w:suppressAutoHyphens/>
        <w:rPr>
          <w:rFonts w:ascii="Bookman Old Style" w:hAnsi="Bookman Old Style"/>
        </w:rPr>
      </w:pPr>
    </w:p>
    <w:p w14:paraId="2B5716B5" w14:textId="77777777" w:rsidR="005E68FF" w:rsidRDefault="005E68FF" w:rsidP="005E68FF">
      <w:pPr>
        <w:pStyle w:val="Heading3"/>
        <w:widowControl/>
        <w:tabs>
          <w:tab w:val="center" w:pos="4680"/>
        </w:tabs>
        <w:suppressAutoHyphens/>
        <w:rPr>
          <w:rFonts w:ascii="Bookman Old Style" w:hAnsi="Bookman Old Style"/>
        </w:rPr>
      </w:pPr>
    </w:p>
    <w:p w14:paraId="470EED7A" w14:textId="77777777" w:rsidR="005E68FF" w:rsidRDefault="005E68FF" w:rsidP="005E68FF">
      <w:pPr>
        <w:pStyle w:val="Heading3"/>
        <w:widowControl/>
        <w:tabs>
          <w:tab w:val="center" w:pos="4680"/>
        </w:tabs>
        <w:suppressAutoHyphens/>
        <w:rPr>
          <w:rFonts w:ascii="Bookman Old Style" w:hAnsi="Bookman Old Style"/>
        </w:rPr>
      </w:pPr>
    </w:p>
    <w:p w14:paraId="22B9455A" w14:textId="77777777" w:rsidR="005E68FF" w:rsidRDefault="005E68FF" w:rsidP="005E68FF">
      <w:pPr>
        <w:pStyle w:val="Heading3"/>
        <w:widowControl/>
        <w:tabs>
          <w:tab w:val="center" w:pos="4680"/>
        </w:tabs>
        <w:suppressAutoHyphens/>
        <w:rPr>
          <w:rFonts w:ascii="Bookman Old Style" w:hAnsi="Bookman Old Style"/>
        </w:rPr>
      </w:pPr>
    </w:p>
    <w:p w14:paraId="38A653FB" w14:textId="77777777" w:rsidR="005E68FF" w:rsidRDefault="005E68FF" w:rsidP="005E68FF">
      <w:pPr>
        <w:widowControl/>
        <w:tabs>
          <w:tab w:val="left" w:pos="-720"/>
        </w:tabs>
        <w:suppressAutoHyphens/>
        <w:rPr>
          <w:rFonts w:ascii="Bookman Old Style" w:hAnsi="Bookman Old Style"/>
        </w:rPr>
      </w:pPr>
    </w:p>
    <w:p w14:paraId="5FF08632" w14:textId="77777777"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14:paraId="295906FB" w14:textId="77777777" w:rsidR="007264A1" w:rsidRPr="00FB77CC" w:rsidRDefault="007264A1" w:rsidP="00FB77CC">
      <w:pPr>
        <w:tabs>
          <w:tab w:val="left" w:pos="90"/>
          <w:tab w:val="center" w:pos="4680"/>
        </w:tabs>
        <w:suppressAutoHyphens/>
        <w:jc w:val="center"/>
        <w:outlineLvl w:val="0"/>
        <w:rPr>
          <w:rFonts w:ascii="Bookman Old Style" w:hAnsi="Bookman Old Style"/>
          <w:szCs w:val="24"/>
        </w:rPr>
      </w:pPr>
    </w:p>
    <w:p w14:paraId="576D845A" w14:textId="5E46F995"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8A6AA4">
        <w:rPr>
          <w:rFonts w:ascii="Bookman Old Style" w:hAnsi="Bookman Old Style"/>
          <w:szCs w:val="24"/>
        </w:rPr>
        <w:t>20 2153</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8A6AA4">
        <w:rPr>
          <w:rFonts w:ascii="Bookman Old Style" w:hAnsi="Bookman Old Style"/>
          <w:szCs w:val="24"/>
        </w:rPr>
        <w:t>March 15, 202</w:t>
      </w:r>
      <w:r w:rsidR="00BE360A">
        <w:rPr>
          <w:rFonts w:ascii="Bookman Old Style" w:hAnsi="Bookman Old Style"/>
          <w:szCs w:val="24"/>
        </w:rPr>
        <w:t>1</w:t>
      </w:r>
    </w:p>
    <w:p w14:paraId="1F7B613D" w14:textId="77777777" w:rsidR="0016206D" w:rsidRPr="00FB77CC" w:rsidRDefault="0016206D" w:rsidP="00FB77CC">
      <w:pPr>
        <w:tabs>
          <w:tab w:val="left" w:pos="-720"/>
        </w:tabs>
        <w:suppressAutoHyphens/>
        <w:rPr>
          <w:rFonts w:ascii="Bookman Old Style" w:hAnsi="Bookman Old Style"/>
          <w:szCs w:val="24"/>
        </w:rPr>
      </w:pPr>
    </w:p>
    <w:p w14:paraId="5B4E3441" w14:textId="77777777"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14:paraId="62378C4F"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76B0F4B5" w14:textId="6FC6006A" w:rsidR="008A6AA4" w:rsidRPr="008A6AA4" w:rsidRDefault="008A6AA4" w:rsidP="008A6AA4">
      <w:pPr>
        <w:tabs>
          <w:tab w:val="left" w:pos="-1440"/>
          <w:tab w:val="left" w:pos="-720"/>
          <w:tab w:val="left" w:pos="0"/>
          <w:tab w:val="left" w:pos="5040"/>
          <w:tab w:val="left" w:pos="5760"/>
        </w:tabs>
        <w:suppressAutoHyphens/>
        <w:ind w:right="-360"/>
        <w:rPr>
          <w:rFonts w:ascii="Bookman Old Style" w:hAnsi="Bookman Old Style"/>
          <w:szCs w:val="24"/>
        </w:rPr>
      </w:pPr>
      <w:r w:rsidRPr="008A6AA4">
        <w:rPr>
          <w:rFonts w:ascii="Bookman Old Style" w:hAnsi="Bookman Old Style"/>
          <w:szCs w:val="24"/>
        </w:rPr>
        <w:t>LINDA CARTER</w:t>
      </w:r>
      <w:r>
        <w:rPr>
          <w:rFonts w:ascii="Bookman Old Style" w:hAnsi="Bookman Old Style"/>
          <w:szCs w:val="24"/>
        </w:rPr>
        <w:tab/>
      </w:r>
      <w:r w:rsidRPr="008A6AA4">
        <w:rPr>
          <w:rFonts w:ascii="Bookman Old Style" w:hAnsi="Bookman Old Style"/>
          <w:szCs w:val="24"/>
        </w:rPr>
        <w:t>TANANA CHIEFS CONFERENCE INC</w:t>
      </w:r>
    </w:p>
    <w:p w14:paraId="34F8305A" w14:textId="7478D802" w:rsidR="0016206D" w:rsidRDefault="0016206D" w:rsidP="00FB77CC">
      <w:pPr>
        <w:tabs>
          <w:tab w:val="left" w:pos="-1440"/>
          <w:tab w:val="left" w:pos="-720"/>
          <w:tab w:val="left" w:pos="0"/>
          <w:tab w:val="left" w:pos="5760"/>
        </w:tabs>
        <w:suppressAutoHyphens/>
        <w:ind w:right="-360"/>
        <w:rPr>
          <w:rFonts w:ascii="Bookman Old Style" w:hAnsi="Bookman Old Style"/>
          <w:szCs w:val="24"/>
        </w:rPr>
      </w:pPr>
    </w:p>
    <w:p w14:paraId="5B03C9B9" w14:textId="3B5EA7EE" w:rsidR="00213DA3" w:rsidRDefault="00213DA3" w:rsidP="00FB77CC">
      <w:pPr>
        <w:tabs>
          <w:tab w:val="left" w:pos="-1440"/>
          <w:tab w:val="left" w:pos="-720"/>
          <w:tab w:val="left" w:pos="0"/>
          <w:tab w:val="left" w:pos="5760"/>
        </w:tabs>
        <w:suppressAutoHyphens/>
        <w:ind w:right="-360"/>
        <w:rPr>
          <w:rFonts w:ascii="Bookman Old Style" w:hAnsi="Bookman Old Style"/>
          <w:szCs w:val="24"/>
        </w:rPr>
      </w:pPr>
    </w:p>
    <w:p w14:paraId="395D3A9D" w14:textId="77777777" w:rsidR="00213DA3" w:rsidRPr="00FB77CC" w:rsidRDefault="00213DA3" w:rsidP="00FB77CC">
      <w:pPr>
        <w:tabs>
          <w:tab w:val="left" w:pos="-1440"/>
          <w:tab w:val="left" w:pos="-720"/>
          <w:tab w:val="left" w:pos="0"/>
          <w:tab w:val="left" w:pos="5760"/>
        </w:tabs>
        <w:suppressAutoHyphens/>
        <w:ind w:right="-360"/>
        <w:rPr>
          <w:rFonts w:ascii="Bookman Old Style" w:hAnsi="Bookman Old Style"/>
          <w:szCs w:val="24"/>
        </w:rPr>
      </w:pPr>
    </w:p>
    <w:p w14:paraId="3063C27D" w14:textId="77777777"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14:paraId="7E290E6C"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081B3D59" w14:textId="2F600CBD" w:rsidR="0016206D" w:rsidRPr="00FB77CC" w:rsidRDefault="008A6AA4"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Linda Carter</w:t>
      </w:r>
      <w:r w:rsidR="00C841ED" w:rsidRPr="00FB77CC">
        <w:rPr>
          <w:rFonts w:ascii="Bookman Old Style" w:hAnsi="Bookman Old Style"/>
          <w:szCs w:val="24"/>
        </w:rPr>
        <w:tab/>
      </w:r>
      <w:r w:rsidR="00571E01">
        <w:rPr>
          <w:rFonts w:ascii="Bookman Old Style" w:hAnsi="Bookman Old Style"/>
          <w:szCs w:val="24"/>
        </w:rPr>
        <w:t xml:space="preserve">Georgianne </w:t>
      </w:r>
      <w:proofErr w:type="spellStart"/>
      <w:r>
        <w:rPr>
          <w:rFonts w:ascii="Bookman Old Style" w:hAnsi="Bookman Old Style"/>
          <w:szCs w:val="24"/>
        </w:rPr>
        <w:t>Kannenberg</w:t>
      </w:r>
      <w:proofErr w:type="spellEnd"/>
    </w:p>
    <w:p w14:paraId="4DBD0268"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67123C0E"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14:paraId="4196C19F" w14:textId="77777777" w:rsidR="0016206D" w:rsidRPr="00FB77CC" w:rsidRDefault="0016206D" w:rsidP="00FB77CC">
      <w:pPr>
        <w:tabs>
          <w:tab w:val="center" w:pos="4860"/>
        </w:tabs>
        <w:suppressAutoHyphens/>
        <w:ind w:right="-360"/>
        <w:rPr>
          <w:rFonts w:ascii="Bookman Old Style" w:hAnsi="Bookman Old Style"/>
          <w:szCs w:val="24"/>
        </w:rPr>
      </w:pPr>
    </w:p>
    <w:p w14:paraId="35DF5205" w14:textId="1BB3B972" w:rsidR="0016206D" w:rsidRPr="0076474D" w:rsidRDefault="003F54EA" w:rsidP="0076474D">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8A6AA4">
        <w:rPr>
          <w:rFonts w:ascii="Bookman Old Style" w:hAnsi="Bookman Old Style"/>
          <w:szCs w:val="24"/>
        </w:rPr>
        <w:t>claimant</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8A6AA4">
        <w:rPr>
          <w:rFonts w:ascii="Bookman Old Style" w:hAnsi="Bookman Old Style"/>
          <w:snapToGrid/>
          <w:szCs w:val="24"/>
        </w:rPr>
        <w:t>November 11, 2020</w:t>
      </w:r>
      <w:r w:rsidRPr="00FB77CC">
        <w:rPr>
          <w:rFonts w:ascii="Bookman Old Style" w:hAnsi="Bookman Old Style"/>
          <w:snapToGrid/>
          <w:szCs w:val="24"/>
        </w:rPr>
        <w:t xml:space="preserve"> determination which denied benefits under Alaska Statute 23.20.379. The issue before the Appeal Tribunal is whether the claimant was discharged for misconduct connected with the work.</w:t>
      </w:r>
    </w:p>
    <w:p w14:paraId="535A6587"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14:paraId="4DF5D278"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6AB842F3" w14:textId="32BAFEDB"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w:t>
      </w:r>
      <w:r w:rsidR="008B1B80">
        <w:rPr>
          <w:rFonts w:ascii="Bookman Old Style" w:hAnsi="Bookman Old Style"/>
          <w:snapToGrid/>
          <w:szCs w:val="24"/>
        </w:rPr>
        <w:t>in February 2008</w:t>
      </w:r>
      <w:r w:rsidRPr="00FB77CC">
        <w:rPr>
          <w:rFonts w:ascii="Bookman Old Style" w:hAnsi="Bookman Old Style"/>
          <w:snapToGrid/>
          <w:szCs w:val="24"/>
        </w:rPr>
        <w:t xml:space="preserve">. </w:t>
      </w:r>
      <w:r w:rsidR="008B1B80">
        <w:rPr>
          <w:rFonts w:ascii="Bookman Old Style" w:hAnsi="Bookman Old Style"/>
          <w:snapToGrid/>
          <w:szCs w:val="24"/>
        </w:rPr>
        <w:t>She last worked on July 23, 2020.</w:t>
      </w:r>
      <w:r w:rsidRPr="00FB77CC">
        <w:rPr>
          <w:rFonts w:ascii="Bookman Old Style" w:hAnsi="Bookman Old Style"/>
          <w:snapToGrid/>
          <w:szCs w:val="24"/>
        </w:rPr>
        <w:t xml:space="preserve"> At that time, </w:t>
      </w:r>
      <w:r w:rsidR="008B1B80">
        <w:rPr>
          <w:rFonts w:ascii="Bookman Old Style" w:hAnsi="Bookman Old Style"/>
          <w:snapToGrid/>
          <w:szCs w:val="24"/>
        </w:rPr>
        <w:t>she</w:t>
      </w:r>
      <w:r w:rsidRPr="00FB77CC">
        <w:rPr>
          <w:rFonts w:ascii="Bookman Old Style" w:hAnsi="Bookman Old Style"/>
          <w:snapToGrid/>
          <w:szCs w:val="24"/>
        </w:rPr>
        <w:t xml:space="preserve"> worked </w:t>
      </w:r>
      <w:r w:rsidR="008B1B80">
        <w:rPr>
          <w:rFonts w:ascii="Bookman Old Style" w:hAnsi="Bookman Old Style"/>
          <w:snapToGrid/>
          <w:szCs w:val="24"/>
        </w:rPr>
        <w:t>full time</w:t>
      </w:r>
      <w:r w:rsidRPr="00FB77CC">
        <w:rPr>
          <w:rFonts w:ascii="Bookman Old Style" w:hAnsi="Bookman Old Style"/>
          <w:snapToGrid/>
          <w:szCs w:val="24"/>
        </w:rPr>
        <w:t xml:space="preserve"> as a </w:t>
      </w:r>
      <w:r w:rsidR="008B1B80">
        <w:rPr>
          <w:rFonts w:ascii="Bookman Old Style" w:hAnsi="Bookman Old Style"/>
          <w:snapToGrid/>
          <w:szCs w:val="24"/>
        </w:rPr>
        <w:t>dental assistant</w:t>
      </w:r>
      <w:r w:rsidRPr="00FB77CC">
        <w:rPr>
          <w:rFonts w:ascii="Bookman Old Style" w:hAnsi="Bookman Old Style"/>
          <w:snapToGrid/>
          <w:szCs w:val="24"/>
        </w:rPr>
        <w:t>.</w:t>
      </w:r>
    </w:p>
    <w:p w14:paraId="4ACFED6D" w14:textId="370E48B5" w:rsidR="008B1B80" w:rsidRDefault="008B1B80"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Shortly before the work ended, the employer asked the claimant to get clearance from her healthcare provider to assist with dental surgical procedures. The claimant’s supervisor was aware of the claimant’s health circumstances, which include issues that could make her more susceptible to complications of the COVID-19 virus. The claimant obtained medical clearance to assist with surgeries.</w:t>
      </w:r>
    </w:p>
    <w:p w14:paraId="3A081455" w14:textId="47C03F50" w:rsidR="008B1B80" w:rsidRDefault="008B1B80"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the claimant’s last day, she was assigned to work outside administering COVID-19 testing.  The claimant was upset about the assignment.  The employer had asked for volunteers for that work, and the claimant had not volunteered. The claimant was the oldest </w:t>
      </w:r>
      <w:r w:rsidR="00A94A5C">
        <w:rPr>
          <w:rFonts w:ascii="Bookman Old Style" w:hAnsi="Bookman Old Style"/>
          <w:snapToGrid/>
          <w:szCs w:val="24"/>
        </w:rPr>
        <w:t xml:space="preserve">assistant on </w:t>
      </w:r>
      <w:proofErr w:type="gramStart"/>
      <w:r w:rsidR="00A94A5C">
        <w:rPr>
          <w:rFonts w:ascii="Bookman Old Style" w:hAnsi="Bookman Old Style"/>
          <w:snapToGrid/>
          <w:szCs w:val="24"/>
        </w:rPr>
        <w:t>staff</w:t>
      </w:r>
      <w:proofErr w:type="gramEnd"/>
      <w:r w:rsidR="00A94A5C">
        <w:rPr>
          <w:rFonts w:ascii="Bookman Old Style" w:hAnsi="Bookman Old Style"/>
          <w:snapToGrid/>
          <w:szCs w:val="24"/>
        </w:rPr>
        <w:t xml:space="preserve"> and she felt she was being exposed to the virus unnecessarily.  </w:t>
      </w:r>
    </w:p>
    <w:p w14:paraId="39ED4B14" w14:textId="28F5E0A1" w:rsidR="0016206D" w:rsidRPr="00A13501" w:rsidRDefault="00A94A5C" w:rsidP="00A1350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had a meeting </w:t>
      </w:r>
      <w:r w:rsidR="00EE26E0">
        <w:rPr>
          <w:rFonts w:ascii="Bookman Old Style" w:hAnsi="Bookman Old Style"/>
          <w:snapToGrid/>
          <w:szCs w:val="24"/>
        </w:rPr>
        <w:t xml:space="preserve">that day </w:t>
      </w:r>
      <w:r>
        <w:rPr>
          <w:rFonts w:ascii="Bookman Old Style" w:hAnsi="Bookman Old Style"/>
          <w:snapToGrid/>
          <w:szCs w:val="24"/>
        </w:rPr>
        <w:t>with where she was very upset over the assignment</w:t>
      </w:r>
      <w:r w:rsidR="00EE26E0">
        <w:rPr>
          <w:rFonts w:ascii="Bookman Old Style" w:hAnsi="Bookman Old Style"/>
          <w:snapToGrid/>
          <w:szCs w:val="24"/>
        </w:rPr>
        <w:t xml:space="preserve"> to the point she was crying</w:t>
      </w:r>
      <w:r>
        <w:rPr>
          <w:rFonts w:ascii="Bookman Old Style" w:hAnsi="Bookman Old Style"/>
          <w:snapToGrid/>
          <w:szCs w:val="24"/>
        </w:rPr>
        <w:t xml:space="preserve">. </w:t>
      </w:r>
      <w:r w:rsidR="009755F7">
        <w:rPr>
          <w:rFonts w:ascii="Bookman Old Style" w:hAnsi="Bookman Old Style"/>
          <w:snapToGrid/>
          <w:szCs w:val="24"/>
        </w:rPr>
        <w:t>The claimant felt the supervisor was hovering over her and telling her that the employer had the right to make the assignment. The claimant told the supervisor her doctor would not have cleared her for that work. At one point, t</w:t>
      </w:r>
      <w:r>
        <w:rPr>
          <w:rFonts w:ascii="Bookman Old Style" w:hAnsi="Bookman Old Style"/>
          <w:snapToGrid/>
          <w:szCs w:val="24"/>
        </w:rPr>
        <w:t xml:space="preserve">he claimant’s supervisor asked the claimant to </w:t>
      </w:r>
      <w:r>
        <w:rPr>
          <w:rFonts w:ascii="Bookman Old Style" w:hAnsi="Bookman Old Style"/>
          <w:snapToGrid/>
          <w:szCs w:val="24"/>
        </w:rPr>
        <w:lastRenderedPageBreak/>
        <w:t xml:space="preserve">listen, and the claimant said </w:t>
      </w:r>
      <w:r w:rsidR="00A13501">
        <w:rPr>
          <w:rFonts w:ascii="Bookman Old Style" w:hAnsi="Bookman Old Style"/>
          <w:snapToGrid/>
          <w:szCs w:val="24"/>
        </w:rPr>
        <w:t xml:space="preserve">something to the effect </w:t>
      </w:r>
      <w:r>
        <w:rPr>
          <w:rFonts w:ascii="Bookman Old Style" w:hAnsi="Bookman Old Style"/>
          <w:snapToGrid/>
          <w:szCs w:val="24"/>
        </w:rPr>
        <w:t xml:space="preserve">that she was so angry she wanted to pop the supervisor’s head </w:t>
      </w:r>
      <w:proofErr w:type="gramStart"/>
      <w:r>
        <w:rPr>
          <w:rFonts w:ascii="Bookman Old Style" w:hAnsi="Bookman Old Style"/>
          <w:snapToGrid/>
          <w:szCs w:val="24"/>
        </w:rPr>
        <w:t>off, or</w:t>
      </w:r>
      <w:proofErr w:type="gramEnd"/>
      <w:r>
        <w:rPr>
          <w:rFonts w:ascii="Bookman Old Style" w:hAnsi="Bookman Old Style"/>
          <w:snapToGrid/>
          <w:szCs w:val="24"/>
        </w:rPr>
        <w:t xml:space="preserve"> pop the supervisor in the head. Security was called and the claimant was escorted from the </w:t>
      </w:r>
      <w:r w:rsidR="00A13501">
        <w:rPr>
          <w:rFonts w:ascii="Bookman Old Style" w:hAnsi="Bookman Old Style"/>
          <w:snapToGrid/>
          <w:szCs w:val="24"/>
        </w:rPr>
        <w:t>workplace</w:t>
      </w:r>
      <w:r>
        <w:rPr>
          <w:rFonts w:ascii="Bookman Old Style" w:hAnsi="Bookman Old Style"/>
          <w:snapToGrid/>
          <w:szCs w:val="24"/>
        </w:rPr>
        <w:t xml:space="preserve">.  She was advised afterward that she was discharged because of the </w:t>
      </w:r>
      <w:r w:rsidR="00A13501">
        <w:rPr>
          <w:rFonts w:ascii="Bookman Old Style" w:hAnsi="Bookman Old Style"/>
          <w:snapToGrid/>
          <w:szCs w:val="24"/>
        </w:rPr>
        <w:t xml:space="preserve">unprofessional and inappropriate threatening </w:t>
      </w:r>
      <w:r>
        <w:rPr>
          <w:rFonts w:ascii="Bookman Old Style" w:hAnsi="Bookman Old Style"/>
          <w:snapToGrid/>
          <w:szCs w:val="24"/>
        </w:rPr>
        <w:t>remarks she made on her last day.  The employer has a policy regarding the behavior of staff which forbid</w:t>
      </w:r>
      <w:r w:rsidR="00EE26E0">
        <w:rPr>
          <w:rFonts w:ascii="Bookman Old Style" w:hAnsi="Bookman Old Style"/>
          <w:snapToGrid/>
          <w:szCs w:val="24"/>
        </w:rPr>
        <w:t>s</w:t>
      </w:r>
      <w:r>
        <w:rPr>
          <w:rFonts w:ascii="Bookman Old Style" w:hAnsi="Bookman Old Style"/>
          <w:snapToGrid/>
          <w:szCs w:val="24"/>
        </w:rPr>
        <w:t xml:space="preserve"> </w:t>
      </w:r>
      <w:r w:rsidR="00EE26E0">
        <w:rPr>
          <w:rFonts w:ascii="Bookman Old Style" w:hAnsi="Bookman Old Style"/>
          <w:snapToGrid/>
          <w:szCs w:val="24"/>
        </w:rPr>
        <w:t xml:space="preserve">such </w:t>
      </w:r>
      <w:r>
        <w:rPr>
          <w:rFonts w:ascii="Bookman Old Style" w:hAnsi="Bookman Old Style"/>
          <w:snapToGrid/>
          <w:szCs w:val="24"/>
        </w:rPr>
        <w:t>threats.  The employer consider</w:t>
      </w:r>
      <w:r w:rsidR="00A13501">
        <w:rPr>
          <w:rFonts w:ascii="Bookman Old Style" w:hAnsi="Bookman Old Style"/>
          <w:snapToGrid/>
          <w:szCs w:val="24"/>
        </w:rPr>
        <w:t>ed</w:t>
      </w:r>
      <w:r>
        <w:rPr>
          <w:rFonts w:ascii="Bookman Old Style" w:hAnsi="Bookman Old Style"/>
          <w:snapToGrid/>
          <w:szCs w:val="24"/>
        </w:rPr>
        <w:t xml:space="preserve"> the claimant’s behavior </w:t>
      </w:r>
      <w:r w:rsidR="00EE26E0">
        <w:rPr>
          <w:rFonts w:ascii="Bookman Old Style" w:hAnsi="Bookman Old Style"/>
          <w:snapToGrid/>
          <w:szCs w:val="24"/>
        </w:rPr>
        <w:t xml:space="preserve">on her last day </w:t>
      </w:r>
      <w:r>
        <w:rPr>
          <w:rFonts w:ascii="Bookman Old Style" w:hAnsi="Bookman Old Style"/>
          <w:snapToGrid/>
          <w:szCs w:val="24"/>
        </w:rPr>
        <w:t xml:space="preserve">egregious </w:t>
      </w:r>
      <w:r w:rsidR="00A13501">
        <w:rPr>
          <w:rFonts w:ascii="Bookman Old Style" w:hAnsi="Bookman Old Style"/>
          <w:snapToGrid/>
          <w:szCs w:val="24"/>
        </w:rPr>
        <w:t xml:space="preserve">enough on its own to merit discharge. </w:t>
      </w:r>
    </w:p>
    <w:p w14:paraId="5F662032"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6BEE0783"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14:paraId="25A31544"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7C73A219"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14:paraId="7B1E9576" w14:textId="77777777"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14:paraId="6A75B3D7" w14:textId="1AC64DA2" w:rsidR="00E1431E" w:rsidRPr="00FB77CC" w:rsidRDefault="0016206D" w:rsidP="00970A5B">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 xml:space="preserve">or benefits for the first week in which the insured worker is unemployed and for the next five weeks of unemployment following that week if the insured </w:t>
      </w:r>
      <w:proofErr w:type="gramStart"/>
      <w:r w:rsidRPr="00FB77CC">
        <w:rPr>
          <w:rFonts w:ascii="Bookman Old Style" w:hAnsi="Bookman Old Style"/>
          <w:szCs w:val="24"/>
        </w:rPr>
        <w:t>worker..</w:t>
      </w:r>
      <w:proofErr w:type="gramEnd"/>
    </w:p>
    <w:p w14:paraId="4081278E" w14:textId="77777777"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14:paraId="35D7545E"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20CC7590"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14:paraId="5EC6DFDD"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0E87173A" w14:textId="77777777"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14:paraId="6B3B75FF" w14:textId="449CF7F9" w:rsidR="0016206D" w:rsidRPr="00FB77CC" w:rsidRDefault="00E1431E" w:rsidP="00970A5B">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14:paraId="632A9F43" w14:textId="77777777"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14:paraId="752CAF45"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4E4CD36A"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14:paraId="74577254"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59CA0523" w14:textId="03CED3CA" w:rsidR="0016206D" w:rsidRDefault="00FD6249"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The claimant in this case was very upset over her assignment to work administering COVID-19 tests</w:t>
      </w:r>
      <w:r w:rsidR="00970A5B">
        <w:rPr>
          <w:rFonts w:ascii="Bookman Old Style" w:hAnsi="Bookman Old Style"/>
          <w:szCs w:val="24"/>
        </w:rPr>
        <w:t xml:space="preserve"> and </w:t>
      </w:r>
      <w:r>
        <w:rPr>
          <w:rFonts w:ascii="Bookman Old Style" w:hAnsi="Bookman Old Style"/>
          <w:szCs w:val="24"/>
        </w:rPr>
        <w:t xml:space="preserve">she threatened her supervisor with physical violence. This violated the employer’s policy against workplace </w:t>
      </w:r>
      <w:r w:rsidR="00970A5B">
        <w:rPr>
          <w:rFonts w:ascii="Bookman Old Style" w:hAnsi="Bookman Old Style"/>
          <w:szCs w:val="24"/>
        </w:rPr>
        <w:t xml:space="preserve">threats of </w:t>
      </w:r>
      <w:r>
        <w:rPr>
          <w:rFonts w:ascii="Bookman Old Style" w:hAnsi="Bookman Old Style"/>
          <w:szCs w:val="24"/>
        </w:rPr>
        <w:t xml:space="preserve">violence and the claimant was discharged. </w:t>
      </w:r>
    </w:p>
    <w:p w14:paraId="432DCFB9" w14:textId="77777777" w:rsidR="00970A5B" w:rsidRDefault="00970A5B" w:rsidP="00FB77CC">
      <w:pPr>
        <w:tabs>
          <w:tab w:val="left" w:pos="-1440"/>
          <w:tab w:val="left" w:pos="-720"/>
        </w:tabs>
        <w:suppressAutoHyphens/>
        <w:ind w:right="-360"/>
        <w:rPr>
          <w:rFonts w:ascii="Bookman Old Style" w:hAnsi="Bookman Old Style"/>
          <w:szCs w:val="24"/>
        </w:rPr>
      </w:pPr>
    </w:p>
    <w:p w14:paraId="4A2C80AA" w14:textId="2850D1CD" w:rsidR="00FD6249" w:rsidRDefault="00FD6249" w:rsidP="00FB77CC">
      <w:pPr>
        <w:tabs>
          <w:tab w:val="left" w:pos="-1440"/>
          <w:tab w:val="left" w:pos="-720"/>
        </w:tabs>
        <w:suppressAutoHyphens/>
        <w:ind w:right="-360"/>
        <w:rPr>
          <w:rFonts w:ascii="Bookman Old Style" w:hAnsi="Bookman Old Style"/>
          <w:szCs w:val="24"/>
        </w:rPr>
      </w:pPr>
    </w:p>
    <w:p w14:paraId="182EFE7C" w14:textId="77777777" w:rsidR="00FD6249" w:rsidRPr="00FD6249" w:rsidRDefault="00FD6249" w:rsidP="00FD6249">
      <w:pPr>
        <w:tabs>
          <w:tab w:val="left" w:pos="-720"/>
        </w:tabs>
        <w:ind w:left="810"/>
        <w:rPr>
          <w:rFonts w:ascii="Bookman Old Style" w:hAnsi="Bookman Old Style"/>
          <w:i/>
          <w:iCs/>
        </w:rPr>
      </w:pPr>
      <w:r w:rsidRPr="00FD6249">
        <w:rPr>
          <w:rFonts w:ascii="Bookman Old Style" w:hAnsi="Bookman Old Style"/>
          <w:i/>
          <w:iCs/>
        </w:rPr>
        <w:t xml:space="preserve">The employer does have the right to set the parameters of the work.  Furthermore, insubordination - that is, refusal to obey a reasonable </w:t>
      </w:r>
      <w:r w:rsidRPr="00FD6249">
        <w:rPr>
          <w:rFonts w:ascii="Bookman Old Style" w:hAnsi="Bookman Old Style"/>
          <w:i/>
          <w:iCs/>
        </w:rPr>
        <w:lastRenderedPageBreak/>
        <w:t xml:space="preserve">request of the employer - does constitute misconduct.  On the other hand, if just cause can be shown for refusing the request, then misconduct may be converted to a </w:t>
      </w:r>
      <w:proofErr w:type="spellStart"/>
      <w:r w:rsidRPr="00FD6249">
        <w:rPr>
          <w:rFonts w:ascii="Bookman Old Style" w:hAnsi="Bookman Old Style"/>
          <w:i/>
          <w:iCs/>
        </w:rPr>
        <w:t>nondisqualifying</w:t>
      </w:r>
      <w:proofErr w:type="spellEnd"/>
      <w:r w:rsidRPr="00FD6249">
        <w:rPr>
          <w:rFonts w:ascii="Bookman Old Style" w:hAnsi="Bookman Old Style"/>
          <w:i/>
          <w:iCs/>
        </w:rPr>
        <w:t xml:space="preserve"> separation.  In </w:t>
      </w:r>
      <w:proofErr w:type="spellStart"/>
      <w:r w:rsidRPr="00FD6249">
        <w:rPr>
          <w:rFonts w:ascii="Bookman Old Style" w:hAnsi="Bookman Old Style"/>
          <w:i/>
          <w:iCs/>
          <w:u w:val="single"/>
        </w:rPr>
        <w:t>Vaara</w:t>
      </w:r>
      <w:proofErr w:type="spellEnd"/>
      <w:r w:rsidRPr="00FD6249">
        <w:rPr>
          <w:rFonts w:ascii="Bookman Old Style" w:hAnsi="Bookman Old Style"/>
          <w:i/>
          <w:iCs/>
        </w:rPr>
        <w:t>, Com. Dec. 85H-UI-184, September 9, 1985.</w:t>
      </w:r>
    </w:p>
    <w:p w14:paraId="5DE589E0" w14:textId="77777777" w:rsidR="00FD6249" w:rsidRPr="00FD6249" w:rsidRDefault="00FD6249" w:rsidP="00FD6249">
      <w:pPr>
        <w:tabs>
          <w:tab w:val="left" w:pos="-720"/>
        </w:tabs>
        <w:ind w:left="810"/>
        <w:rPr>
          <w:rFonts w:ascii="Bookman Old Style" w:hAnsi="Bookman Old Style"/>
          <w:i/>
          <w:iCs/>
        </w:rPr>
      </w:pPr>
    </w:p>
    <w:p w14:paraId="49E7445F" w14:textId="77777777" w:rsidR="00FD6249" w:rsidRPr="00FD6249" w:rsidRDefault="00FD6249" w:rsidP="00FD6249">
      <w:pPr>
        <w:tabs>
          <w:tab w:val="left" w:pos="-720"/>
        </w:tabs>
        <w:ind w:left="810"/>
        <w:rPr>
          <w:rFonts w:ascii="Bookman Old Style" w:hAnsi="Bookman Old Style"/>
          <w:i/>
          <w:iCs/>
        </w:rPr>
      </w:pPr>
      <w:r w:rsidRPr="00FD6249">
        <w:rPr>
          <w:rFonts w:ascii="Bookman Old Style" w:hAnsi="Bookman Old Style"/>
          <w:i/>
          <w:iCs/>
        </w:rPr>
        <w:t xml:space="preserve">In a question of whether insubordination constitutes misconduct in connection with a claimant's work, "it is only necessary to show that he [the claimant] acted willfully against the best interests of his employer in order to establish that."  </w:t>
      </w:r>
      <w:r w:rsidRPr="00FD6249">
        <w:rPr>
          <w:rFonts w:ascii="Bookman Old Style" w:hAnsi="Bookman Old Style"/>
          <w:i/>
          <w:iCs/>
          <w:u w:val="single"/>
        </w:rPr>
        <w:t>Risen</w:t>
      </w:r>
      <w:r w:rsidRPr="00FD6249">
        <w:rPr>
          <w:rFonts w:ascii="Bookman Old Style" w:hAnsi="Bookman Old Style"/>
          <w:i/>
          <w:iCs/>
        </w:rPr>
        <w:t xml:space="preserve">, Com. Dec. 86H-UI-214, September 15, 1986.  In </w:t>
      </w:r>
      <w:r w:rsidRPr="00FD6249">
        <w:rPr>
          <w:rFonts w:ascii="Bookman Old Style" w:hAnsi="Bookman Old Style"/>
          <w:i/>
          <w:iCs/>
          <w:u w:val="single"/>
        </w:rPr>
        <w:t>Risen</w:t>
      </w:r>
      <w:r w:rsidRPr="00FD6249">
        <w:rPr>
          <w:rFonts w:ascii="Bookman Old Style" w:hAnsi="Bookman Old Style"/>
          <w:i/>
          <w:iCs/>
        </w:rPr>
        <w:t>, the Commissioner also held that when a claimant refuses an employer's instructions, "Such refusal, absent a showing that the employer's request was unreasonable or detrimental to the individual, is misconduct in connection with the work."</w:t>
      </w:r>
    </w:p>
    <w:p w14:paraId="3F8D695C" w14:textId="77777777" w:rsidR="00FD6249" w:rsidRPr="00FB77CC" w:rsidRDefault="00FD6249" w:rsidP="00FB77CC">
      <w:pPr>
        <w:tabs>
          <w:tab w:val="left" w:pos="-1440"/>
          <w:tab w:val="left" w:pos="-720"/>
        </w:tabs>
        <w:suppressAutoHyphens/>
        <w:ind w:right="-360"/>
        <w:rPr>
          <w:rFonts w:ascii="Bookman Old Style" w:hAnsi="Bookman Old Style"/>
          <w:szCs w:val="24"/>
        </w:rPr>
      </w:pPr>
    </w:p>
    <w:p w14:paraId="3FB4972C" w14:textId="77777777" w:rsidR="00F6085F" w:rsidRDefault="00F6085F"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argued that the employer was singling her out and unfairly exposing her to the COVID-19 virus. She argued that her doctor did not clear her for the work the employer assigned her to.  The claimant’s arguments do not excuse her violation of the employer’s </w:t>
      </w:r>
      <w:r w:rsidR="00FD6249">
        <w:rPr>
          <w:rFonts w:ascii="Bookman Old Style" w:hAnsi="Bookman Old Style"/>
          <w:szCs w:val="24"/>
        </w:rPr>
        <w:t>policy against threats of physical violence</w:t>
      </w:r>
      <w:r>
        <w:rPr>
          <w:rFonts w:ascii="Bookman Old Style" w:hAnsi="Bookman Old Style"/>
          <w:szCs w:val="24"/>
        </w:rPr>
        <w:t>. The policy</w:t>
      </w:r>
      <w:r w:rsidR="00FD6249">
        <w:rPr>
          <w:rFonts w:ascii="Bookman Old Style" w:hAnsi="Bookman Old Style"/>
          <w:szCs w:val="24"/>
        </w:rPr>
        <w:t xml:space="preserve"> </w:t>
      </w:r>
      <w:r>
        <w:rPr>
          <w:rFonts w:ascii="Bookman Old Style" w:hAnsi="Bookman Old Style"/>
          <w:szCs w:val="24"/>
        </w:rPr>
        <w:t>i</w:t>
      </w:r>
      <w:r w:rsidR="00FD6249">
        <w:rPr>
          <w:rFonts w:ascii="Bookman Old Style" w:hAnsi="Bookman Old Style"/>
          <w:szCs w:val="24"/>
        </w:rPr>
        <w:t xml:space="preserve">s </w:t>
      </w:r>
      <w:proofErr w:type="gramStart"/>
      <w:r w:rsidR="00FD6249">
        <w:rPr>
          <w:rFonts w:ascii="Bookman Old Style" w:hAnsi="Bookman Old Style"/>
          <w:szCs w:val="24"/>
        </w:rPr>
        <w:t>reasonable</w:t>
      </w:r>
      <w:proofErr w:type="gramEnd"/>
      <w:r w:rsidR="00FD6249">
        <w:rPr>
          <w:rFonts w:ascii="Bookman Old Style" w:hAnsi="Bookman Old Style"/>
          <w:szCs w:val="24"/>
        </w:rPr>
        <w:t xml:space="preserve"> and </w:t>
      </w:r>
      <w:r>
        <w:rPr>
          <w:rFonts w:ascii="Bookman Old Style" w:hAnsi="Bookman Old Style"/>
          <w:szCs w:val="24"/>
        </w:rPr>
        <w:t>it i</w:t>
      </w:r>
      <w:r w:rsidR="00FD6249">
        <w:rPr>
          <w:rFonts w:ascii="Bookman Old Style" w:hAnsi="Bookman Old Style"/>
          <w:szCs w:val="24"/>
        </w:rPr>
        <w:t>s not detrimental to the claimant</w:t>
      </w:r>
      <w:r>
        <w:rPr>
          <w:rFonts w:ascii="Bookman Old Style" w:hAnsi="Bookman Old Style"/>
          <w:szCs w:val="24"/>
        </w:rPr>
        <w:t xml:space="preserve"> to refrain from violent speech</w:t>
      </w:r>
      <w:r w:rsidR="00FD6249">
        <w:rPr>
          <w:rFonts w:ascii="Bookman Old Style" w:hAnsi="Bookman Old Style"/>
          <w:szCs w:val="24"/>
        </w:rPr>
        <w:t>.</w:t>
      </w:r>
    </w:p>
    <w:p w14:paraId="554DCC11" w14:textId="77777777" w:rsidR="00F6085F" w:rsidRDefault="00F6085F" w:rsidP="00FB77CC">
      <w:pPr>
        <w:tabs>
          <w:tab w:val="left" w:pos="-1440"/>
          <w:tab w:val="left" w:pos="-720"/>
        </w:tabs>
        <w:suppressAutoHyphens/>
        <w:ind w:right="-360"/>
        <w:rPr>
          <w:rFonts w:ascii="Bookman Old Style" w:hAnsi="Bookman Old Style"/>
          <w:szCs w:val="24"/>
        </w:rPr>
      </w:pPr>
    </w:p>
    <w:p w14:paraId="3633FD09" w14:textId="3A47B8E8" w:rsidR="0016206D" w:rsidRPr="00FB77CC" w:rsidRDefault="00FD6249"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It has been show</w:t>
      </w:r>
      <w:r w:rsidR="00430C56">
        <w:rPr>
          <w:rFonts w:ascii="Bookman Old Style" w:hAnsi="Bookman Old Style"/>
          <w:szCs w:val="24"/>
        </w:rPr>
        <w:t>n</w:t>
      </w:r>
      <w:r>
        <w:rPr>
          <w:rFonts w:ascii="Bookman Old Style" w:hAnsi="Bookman Old Style"/>
          <w:szCs w:val="24"/>
        </w:rPr>
        <w:t xml:space="preserve"> that the claimant acted willfully against the employer’s interests and her discharge was for work related misconduct. </w:t>
      </w:r>
      <w:r w:rsidR="00F6085F">
        <w:rPr>
          <w:rFonts w:ascii="Bookman Old Style" w:hAnsi="Bookman Old Style"/>
          <w:szCs w:val="24"/>
        </w:rPr>
        <w:t xml:space="preserve">The penalties of </w:t>
      </w:r>
      <w:r w:rsidR="00430C56">
        <w:rPr>
          <w:rFonts w:ascii="Bookman Old Style" w:hAnsi="Bookman Old Style"/>
          <w:szCs w:val="24"/>
        </w:rPr>
        <w:t xml:space="preserve">    </w:t>
      </w:r>
      <w:r w:rsidR="00F6085F">
        <w:rPr>
          <w:rFonts w:ascii="Bookman Old Style" w:hAnsi="Bookman Old Style"/>
          <w:szCs w:val="24"/>
        </w:rPr>
        <w:t>AS 23.20.379 are appropriate.</w:t>
      </w:r>
    </w:p>
    <w:p w14:paraId="037F1CA3"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3E7A4EF0" w14:textId="77777777"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14:paraId="7F4F6936" w14:textId="77777777" w:rsidR="00FB77CC" w:rsidRDefault="00FB77CC" w:rsidP="00FB77CC">
      <w:pPr>
        <w:tabs>
          <w:tab w:val="left" w:pos="-1440"/>
          <w:tab w:val="left" w:pos="-720"/>
        </w:tabs>
        <w:suppressAutoHyphens/>
        <w:ind w:right="-360"/>
        <w:rPr>
          <w:rFonts w:ascii="Bookman Old Style" w:hAnsi="Bookman Old Style"/>
        </w:rPr>
      </w:pPr>
    </w:p>
    <w:p w14:paraId="24843F25" w14:textId="22EE8189"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76474D">
        <w:rPr>
          <w:rFonts w:ascii="Bookman Old Style" w:hAnsi="Bookman Old Style"/>
          <w:szCs w:val="24"/>
        </w:rPr>
        <w:t>November 11, 2020</w:t>
      </w:r>
      <w:r w:rsidRPr="00E1431E">
        <w:rPr>
          <w:rFonts w:ascii="Bookman Old Style" w:hAnsi="Bookman Old Style"/>
        </w:rPr>
        <w:t xml:space="preserve"> is </w:t>
      </w:r>
      <w:r w:rsidR="0076474D">
        <w:rPr>
          <w:rFonts w:ascii="Bookman Old Style" w:hAnsi="Bookman Old Style"/>
          <w:b/>
          <w:szCs w:val="24"/>
        </w:rPr>
        <w:t>AFFIRMED</w:t>
      </w:r>
      <w:r w:rsidRPr="00E1431E">
        <w:rPr>
          <w:rFonts w:ascii="Bookman Old Style" w:hAnsi="Bookman Old Style"/>
          <w:b/>
        </w:rPr>
        <w:t xml:space="preserve">. </w:t>
      </w:r>
      <w:r w:rsidRPr="00E1431E">
        <w:rPr>
          <w:rFonts w:ascii="Bookman Old Style" w:hAnsi="Bookman Old Style"/>
        </w:rPr>
        <w:t xml:space="preserve">Benefits </w:t>
      </w:r>
      <w:r w:rsidR="0076474D">
        <w:rPr>
          <w:rFonts w:ascii="Bookman Old Style" w:hAnsi="Bookman Old Style"/>
        </w:rPr>
        <w:t>remain</w:t>
      </w:r>
      <w:r w:rsidRPr="00E1431E">
        <w:rPr>
          <w:rFonts w:ascii="Bookman Old Style" w:hAnsi="Bookman Old Style"/>
        </w:rPr>
        <w:t xml:space="preserve"> </w:t>
      </w:r>
      <w:r w:rsidRPr="00FB77CC">
        <w:rPr>
          <w:rFonts w:ascii="Bookman Old Style" w:hAnsi="Bookman Old Style"/>
          <w:b/>
        </w:rPr>
        <w:t>DENIED</w:t>
      </w:r>
      <w:r w:rsidRPr="00DC77EC">
        <w:rPr>
          <w:rFonts w:ascii="Bookman Old Style" w:hAnsi="Bookman Old Style"/>
        </w:rPr>
        <w:t xml:space="preserve"> </w:t>
      </w:r>
      <w:r w:rsidRPr="00E1431E">
        <w:rPr>
          <w:rFonts w:ascii="Bookman Old Style" w:hAnsi="Bookman Old Style"/>
        </w:rPr>
        <w:t xml:space="preserve">for the weeks ending </w:t>
      </w:r>
      <w:r w:rsidR="0076474D">
        <w:rPr>
          <w:rFonts w:ascii="Bookman Old Style" w:hAnsi="Bookman Old Style"/>
          <w:szCs w:val="24"/>
        </w:rPr>
        <w:t>July 25, 2020 through August 29, 2020</w:t>
      </w:r>
      <w:r w:rsidRPr="00E1431E">
        <w:rPr>
          <w:rFonts w:ascii="Bookman Old Style" w:hAnsi="Bookman Old Style"/>
        </w:rPr>
        <w:t xml:space="preserve">. The three weeks are </w:t>
      </w:r>
      <w:r>
        <w:rPr>
          <w:rFonts w:ascii="Bookman Old Style" w:hAnsi="Bookman Old Style"/>
        </w:rPr>
        <w:t>reduced from the claimant’s</w:t>
      </w:r>
      <w:r w:rsidRPr="00E1431E">
        <w:rPr>
          <w:rFonts w:ascii="Bookman Old Style" w:hAnsi="Bookman Old Style"/>
        </w:rPr>
        <w:t xml:space="preserve"> maximum benefits. </w:t>
      </w:r>
      <w:r>
        <w:rPr>
          <w:rFonts w:ascii="Bookman Old Style" w:hAnsi="Bookman Old Style"/>
        </w:rPr>
        <w:t>The claimant may not be eligible</w:t>
      </w:r>
      <w:r w:rsidRPr="00E1431E">
        <w:rPr>
          <w:rFonts w:ascii="Bookman Old Style" w:hAnsi="Bookman Old Style"/>
        </w:rPr>
        <w:t xml:space="preserve"> for extended benefits</w:t>
      </w:r>
      <w:r w:rsidRPr="00331D25">
        <w:rPr>
          <w:rFonts w:ascii="Bookman Old Style" w:hAnsi="Bookman Old Style"/>
        </w:rPr>
        <w:t xml:space="preserve"> </w:t>
      </w:r>
      <w:r>
        <w:rPr>
          <w:rFonts w:ascii="Bookman Old Style" w:hAnsi="Bookman Old Style"/>
        </w:rPr>
        <w:t>under AS 23.20.406-409.</w:t>
      </w:r>
    </w:p>
    <w:p w14:paraId="0077321B" w14:textId="77777777" w:rsidR="00FB77CC" w:rsidRDefault="00FB77CC" w:rsidP="00FB77CC"/>
    <w:p w14:paraId="77C9EA1B"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182705C6"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14:paraId="2C15349A"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448FD036" w14:textId="77777777"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5C338068" w14:textId="77777777" w:rsidR="0016206D" w:rsidRPr="00FB77CC" w:rsidRDefault="0016206D" w:rsidP="00FB77CC">
      <w:pPr>
        <w:tabs>
          <w:tab w:val="left" w:pos="-1440"/>
          <w:tab w:val="left" w:pos="-720"/>
        </w:tabs>
        <w:suppressAutoHyphens/>
        <w:rPr>
          <w:rFonts w:ascii="Bookman Old Style" w:hAnsi="Bookman Old Style"/>
          <w:szCs w:val="24"/>
        </w:rPr>
      </w:pPr>
    </w:p>
    <w:p w14:paraId="3ED1F8FD" w14:textId="00F209D0" w:rsidR="0016206D"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76474D">
        <w:rPr>
          <w:rFonts w:ascii="Bookman Old Style" w:hAnsi="Bookman Old Style"/>
          <w:szCs w:val="24"/>
        </w:rPr>
        <w:t>March 1</w:t>
      </w:r>
      <w:r w:rsidR="003F44FA">
        <w:rPr>
          <w:rFonts w:ascii="Bookman Old Style" w:hAnsi="Bookman Old Style"/>
          <w:szCs w:val="24"/>
        </w:rPr>
        <w:t>6</w:t>
      </w:r>
      <w:r w:rsidR="0076474D">
        <w:rPr>
          <w:rFonts w:ascii="Bookman Old Style" w:hAnsi="Bookman Old Style"/>
          <w:szCs w:val="24"/>
        </w:rPr>
        <w:t>, 2021</w:t>
      </w:r>
      <w:r w:rsidR="0016206D" w:rsidRPr="00FB77CC">
        <w:rPr>
          <w:rFonts w:ascii="Bookman Old Style" w:hAnsi="Bookman Old Style"/>
          <w:szCs w:val="24"/>
        </w:rPr>
        <w:t>.</w:t>
      </w:r>
    </w:p>
    <w:p w14:paraId="796E430B" w14:textId="160F08D1" w:rsidR="00970A5B" w:rsidRDefault="00970A5B" w:rsidP="00FB77CC">
      <w:pPr>
        <w:tabs>
          <w:tab w:val="left" w:pos="-1440"/>
          <w:tab w:val="left" w:pos="-720"/>
        </w:tabs>
        <w:suppressAutoHyphens/>
        <w:rPr>
          <w:rFonts w:ascii="Bookman Old Style" w:hAnsi="Bookman Old Style"/>
          <w:szCs w:val="24"/>
        </w:rPr>
      </w:pPr>
    </w:p>
    <w:p w14:paraId="59D1EB4D" w14:textId="77777777" w:rsidR="00970A5B" w:rsidRDefault="00970A5B" w:rsidP="00FB77CC">
      <w:pPr>
        <w:tabs>
          <w:tab w:val="left" w:pos="-1440"/>
          <w:tab w:val="left" w:pos="-720"/>
        </w:tabs>
        <w:suppressAutoHyphens/>
        <w:rPr>
          <w:rFonts w:ascii="Bookman Old Style" w:hAnsi="Bookman Old Style"/>
          <w:szCs w:val="24"/>
        </w:rPr>
      </w:pPr>
    </w:p>
    <w:p w14:paraId="7F65720C" w14:textId="77777777" w:rsidR="00970A5B" w:rsidRPr="00FB77CC" w:rsidRDefault="00970A5B" w:rsidP="00FB77CC">
      <w:pPr>
        <w:tabs>
          <w:tab w:val="left" w:pos="-1440"/>
          <w:tab w:val="left" w:pos="-720"/>
        </w:tabs>
        <w:suppressAutoHyphens/>
        <w:rPr>
          <w:rFonts w:ascii="Bookman Old Style" w:hAnsi="Bookman Old Style"/>
          <w:szCs w:val="24"/>
        </w:rPr>
      </w:pPr>
    </w:p>
    <w:p w14:paraId="490B11A1" w14:textId="77777777" w:rsidR="005E68FF" w:rsidRPr="00FB77CC" w:rsidRDefault="005E68FF" w:rsidP="00FB77CC">
      <w:pPr>
        <w:tabs>
          <w:tab w:val="left" w:pos="-1440"/>
          <w:tab w:val="left" w:pos="-720"/>
        </w:tabs>
        <w:suppressAutoHyphens/>
        <w:rPr>
          <w:rFonts w:ascii="Bookman Old Style" w:hAnsi="Bookman Old Style"/>
          <w:szCs w:val="24"/>
        </w:rPr>
      </w:pPr>
    </w:p>
    <w:p w14:paraId="48B03A82" w14:textId="63B7C2A9"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76474D">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F4723" w14:textId="77777777" w:rsidR="009755F7" w:rsidRDefault="009755F7">
      <w:pPr>
        <w:widowControl/>
        <w:spacing w:line="20" w:lineRule="exact"/>
      </w:pPr>
    </w:p>
  </w:endnote>
  <w:endnote w:type="continuationSeparator" w:id="0">
    <w:p w14:paraId="57ABE026" w14:textId="77777777" w:rsidR="009755F7" w:rsidRDefault="009755F7">
      <w:r>
        <w:t xml:space="preserve"> </w:t>
      </w:r>
    </w:p>
  </w:endnote>
  <w:endnote w:type="continuationNotice" w:id="1">
    <w:p w14:paraId="0BFF28CE" w14:textId="77777777" w:rsidR="009755F7" w:rsidRDefault="009755F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255D6" w14:textId="77777777" w:rsidR="009755F7" w:rsidRDefault="009755F7">
      <w:r>
        <w:separator/>
      </w:r>
    </w:p>
  </w:footnote>
  <w:footnote w:type="continuationSeparator" w:id="0">
    <w:p w14:paraId="6D4E94BD" w14:textId="77777777" w:rsidR="009755F7" w:rsidRDefault="00975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020AA" w14:textId="31B1AE3B" w:rsidR="009755F7" w:rsidRPr="00E20135" w:rsidRDefault="009755F7">
    <w:pPr>
      <w:pStyle w:val="Header"/>
      <w:rPr>
        <w:rFonts w:ascii="Bookman Old Style" w:hAnsi="Bookman Old Style"/>
      </w:rPr>
    </w:pPr>
    <w:r>
      <w:rPr>
        <w:rFonts w:ascii="Bookman Old Style" w:hAnsi="Bookman Old Style"/>
      </w:rPr>
      <w:t>Docket# 20 2153</w:t>
    </w:r>
  </w:p>
  <w:p w14:paraId="6F31DA91" w14:textId="77777777" w:rsidR="009755F7" w:rsidRPr="00E20135" w:rsidRDefault="009755F7">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Pr>
        <w:rStyle w:val="PageNumber"/>
        <w:rFonts w:ascii="Bookman Old Style" w:hAnsi="Bookman Old Style"/>
        <w:noProof/>
      </w:rPr>
      <w:t>2</w:t>
    </w:r>
    <w:r w:rsidRPr="00E20135">
      <w:rPr>
        <w:rStyle w:val="PageNumber"/>
        <w:rFonts w:ascii="Bookman Old Style" w:hAnsi="Bookman Old Style"/>
      </w:rPr>
      <w:fldChar w:fldCharType="end"/>
    </w:r>
  </w:p>
  <w:p w14:paraId="669AF172" w14:textId="77777777" w:rsidR="009755F7" w:rsidRPr="00E20135" w:rsidRDefault="009755F7">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6AA4"/>
    <w:rsid w:val="00015E49"/>
    <w:rsid w:val="000421BE"/>
    <w:rsid w:val="00074ABC"/>
    <w:rsid w:val="000B1B0E"/>
    <w:rsid w:val="000C468C"/>
    <w:rsid w:val="0016206D"/>
    <w:rsid w:val="00184E40"/>
    <w:rsid w:val="001A7E8E"/>
    <w:rsid w:val="001E566D"/>
    <w:rsid w:val="00213DA3"/>
    <w:rsid w:val="00246F0A"/>
    <w:rsid w:val="002C0A6B"/>
    <w:rsid w:val="0030752B"/>
    <w:rsid w:val="003330EC"/>
    <w:rsid w:val="0037410D"/>
    <w:rsid w:val="003A08AE"/>
    <w:rsid w:val="003F44FA"/>
    <w:rsid w:val="003F54EA"/>
    <w:rsid w:val="00414E35"/>
    <w:rsid w:val="00430C56"/>
    <w:rsid w:val="00454952"/>
    <w:rsid w:val="00527085"/>
    <w:rsid w:val="00571E01"/>
    <w:rsid w:val="005840C2"/>
    <w:rsid w:val="005A25FF"/>
    <w:rsid w:val="005D69D2"/>
    <w:rsid w:val="005E68FF"/>
    <w:rsid w:val="006E4A6A"/>
    <w:rsid w:val="006E67C4"/>
    <w:rsid w:val="007264A1"/>
    <w:rsid w:val="0076474D"/>
    <w:rsid w:val="00803703"/>
    <w:rsid w:val="008A6AA4"/>
    <w:rsid w:val="008B1B80"/>
    <w:rsid w:val="009312D8"/>
    <w:rsid w:val="00965B24"/>
    <w:rsid w:val="00970A5B"/>
    <w:rsid w:val="009755F7"/>
    <w:rsid w:val="00A13501"/>
    <w:rsid w:val="00A775FC"/>
    <w:rsid w:val="00A94A5C"/>
    <w:rsid w:val="00A94C46"/>
    <w:rsid w:val="00AC29BB"/>
    <w:rsid w:val="00AC4900"/>
    <w:rsid w:val="00BE360A"/>
    <w:rsid w:val="00BE5A90"/>
    <w:rsid w:val="00C12590"/>
    <w:rsid w:val="00C841ED"/>
    <w:rsid w:val="00CB34CC"/>
    <w:rsid w:val="00D1304C"/>
    <w:rsid w:val="00DE12B1"/>
    <w:rsid w:val="00DF3786"/>
    <w:rsid w:val="00E1431E"/>
    <w:rsid w:val="00E1587B"/>
    <w:rsid w:val="00E20135"/>
    <w:rsid w:val="00E460EE"/>
    <w:rsid w:val="00EE26E0"/>
    <w:rsid w:val="00F6085F"/>
    <w:rsid w:val="00FB77CC"/>
    <w:rsid w:val="00FD4046"/>
    <w:rsid w:val="00FD6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3118AE5"/>
  <w15:chartTrackingRefBased/>
  <w15:docId w15:val="{29B74E69-8CE4-477A-BBA8-F35ADF7B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1</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3</cp:revision>
  <cp:lastPrinted>2021-03-15T23:53:00Z</cp:lastPrinted>
  <dcterms:created xsi:type="dcterms:W3CDTF">2021-03-15T23:54:00Z</dcterms:created>
  <dcterms:modified xsi:type="dcterms:W3CDTF">2021-03-15T23:59:00Z</dcterms:modified>
</cp:coreProperties>
</file>