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79125A">
        <w:rPr>
          <w:rFonts w:ascii="Bookman Old Style" w:hAnsi="Bookman Old Style"/>
          <w:szCs w:val="24"/>
        </w:rPr>
        <w:t>20 2318</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79125A">
        <w:rPr>
          <w:rFonts w:ascii="Bookman Old Style" w:hAnsi="Bookman Old Style"/>
          <w:szCs w:val="24"/>
        </w:rPr>
        <w:t>April 19, 2021</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79125A"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EDGAR DUQUE</w:t>
      </w:r>
      <w:r w:rsidR="004F7405" w:rsidRPr="0046604B">
        <w:rPr>
          <w:rFonts w:ascii="Bookman Old Style" w:hAnsi="Bookman Old Style"/>
          <w:szCs w:val="24"/>
        </w:rPr>
        <w:tab/>
      </w:r>
      <w:r>
        <w:rPr>
          <w:rFonts w:ascii="Bookman Old Style" w:hAnsi="Bookman Old Style"/>
          <w:szCs w:val="24"/>
        </w:rPr>
        <w:t>NN MANAGEMENT SVCS</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AA6179" w:rsidRDefault="00AA6179" w:rsidP="0046604B">
      <w:pPr>
        <w:tabs>
          <w:tab w:val="left" w:pos="-1440"/>
          <w:tab w:val="left" w:pos="-720"/>
          <w:tab w:val="left" w:pos="0"/>
          <w:tab w:val="left" w:pos="5760"/>
        </w:tabs>
        <w:suppressAutoHyphens/>
        <w:ind w:right="-360"/>
        <w:rPr>
          <w:rFonts w:ascii="Bookman Old Style" w:hAnsi="Bookman Old Style"/>
          <w:szCs w:val="24"/>
        </w:rPr>
      </w:pPr>
    </w:p>
    <w:p w:rsidR="00AA6179" w:rsidRPr="0046604B" w:rsidRDefault="00AA6179"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01435C" w:rsidRPr="0046604B" w:rsidRDefault="0079125A"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Edgar Duque</w:t>
      </w:r>
      <w:r w:rsidR="00780095" w:rsidRPr="0046604B">
        <w:rPr>
          <w:rFonts w:ascii="Bookman Old Style" w:hAnsi="Bookman Old Style"/>
          <w:szCs w:val="24"/>
        </w:rPr>
        <w:tab/>
      </w:r>
      <w:r>
        <w:rPr>
          <w:rFonts w:ascii="Bookman Old Style" w:hAnsi="Bookman Old Style"/>
          <w:szCs w:val="24"/>
        </w:rPr>
        <w:t>None</w:t>
      </w:r>
      <w:r w:rsidR="0001435C">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79125A">
        <w:rPr>
          <w:rFonts w:ascii="Bookman Old Style" w:hAnsi="Bookman Old Style"/>
          <w:szCs w:val="24"/>
        </w:rPr>
        <w:t>claimant</w:t>
      </w:r>
      <w:r w:rsidRPr="0046604B">
        <w:rPr>
          <w:rFonts w:ascii="Bookman Old Style" w:hAnsi="Bookman Old Style"/>
          <w:szCs w:val="24"/>
        </w:rPr>
        <w:t xml:space="preserve"> filed an appeal against a </w:t>
      </w:r>
      <w:r w:rsidR="0079125A">
        <w:rPr>
          <w:rFonts w:ascii="Bookman Old Style" w:hAnsi="Bookman Old Style"/>
          <w:szCs w:val="24"/>
        </w:rPr>
        <w:t>May 7, 2020</w:t>
      </w:r>
      <w:r w:rsidRPr="0046604B">
        <w:rPr>
          <w:rFonts w:ascii="Bookman Old Style" w:hAnsi="Bookman Old Style"/>
          <w:szCs w:val="24"/>
        </w:rPr>
        <w:t xml:space="preserve"> determination that </w:t>
      </w:r>
      <w:r w:rsidR="0079125A">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79125A">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79125A">
        <w:rPr>
          <w:rFonts w:ascii="Bookman Old Style" w:hAnsi="Bookman Old Style"/>
          <w:szCs w:val="24"/>
        </w:rPr>
        <w:t>quit work without good cause</w:t>
      </w:r>
      <w:r w:rsidRPr="0046604B">
        <w:rPr>
          <w:rFonts w:ascii="Bookman Old Style" w:hAnsi="Bookman Old Style"/>
          <w:szCs w:val="24"/>
        </w:rPr>
        <w:t xml:space="preserve">. The Division mailed the determination to the claimant’s address of record on </w:t>
      </w:r>
      <w:r w:rsidR="0079125A">
        <w:rPr>
          <w:rFonts w:ascii="Bookman Old Style" w:hAnsi="Bookman Old Style"/>
          <w:szCs w:val="24"/>
        </w:rPr>
        <w:t>May 8,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79125A">
        <w:rPr>
          <w:rFonts w:ascii="Bookman Old Style" w:hAnsi="Bookman Old Style"/>
          <w:szCs w:val="24"/>
        </w:rPr>
        <w:t>December 9, 2020</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79125A" w:rsidP="0046604B">
      <w:pPr>
        <w:tabs>
          <w:tab w:val="left" w:pos="-1440"/>
          <w:tab w:val="left" w:pos="-720"/>
        </w:tabs>
        <w:rPr>
          <w:rFonts w:ascii="Bookman Old Style" w:hAnsi="Bookman Old Style"/>
          <w:szCs w:val="24"/>
        </w:rPr>
      </w:pPr>
      <w:r>
        <w:rPr>
          <w:rFonts w:ascii="Bookman Old Style" w:hAnsi="Bookman Old Style"/>
          <w:szCs w:val="24"/>
        </w:rPr>
        <w:t>The claimant was advised of the denial. He did not recall getting a copy of the determination in the mail. He accepted the six week denial and moved forward with receipt of benefits. He appealed the determination when he appealed the denial of extended benefits (EB).</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w:t>
      </w:r>
      <w:r>
        <w:rPr>
          <w:rFonts w:ascii="Bookman Old Style" w:hAnsi="Bookman Old Style"/>
          <w:szCs w:val="24"/>
        </w:rPr>
        <w:lastRenderedPageBreak/>
        <w:t>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527DB" w:rsidRPr="00D813A9" w:rsidRDefault="007527DB" w:rsidP="007527DB">
      <w:pPr>
        <w:widowControl/>
        <w:tabs>
          <w:tab w:val="left" w:pos="1440"/>
          <w:tab w:val="left" w:pos="2160"/>
          <w:tab w:val="left" w:pos="5586"/>
          <w:tab w:val="left" w:pos="5760"/>
        </w:tabs>
        <w:suppressAutoHyphens/>
        <w:rPr>
          <w:rFonts w:ascii="Bookman Old Style" w:hAnsi="Bookman Old Style"/>
          <w:spacing w:val="-3"/>
        </w:rPr>
      </w:pPr>
      <w:r w:rsidRPr="00D813A9">
        <w:rPr>
          <w:rFonts w:ascii="Bookman Old Style" w:hAnsi="Bookman Old Style"/>
          <w:spacing w:val="-3"/>
        </w:rPr>
        <w:t xml:space="preserve">It is clear from </w:t>
      </w:r>
      <w:r w:rsidRPr="00D813A9">
        <w:rPr>
          <w:rFonts w:ascii="Bookman Old Style" w:hAnsi="Bookman Old Style"/>
          <w:spacing w:val="-3"/>
          <w:u w:val="single"/>
        </w:rPr>
        <w:t>Estes v. Department of Labor</w:t>
      </w:r>
      <w:r w:rsidRPr="00D813A9">
        <w:rPr>
          <w:rFonts w:ascii="Bookman Old Style" w:hAnsi="Bookman Old Style"/>
          <w:spacing w:val="-3"/>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D813A9">
        <w:rPr>
          <w:rFonts w:ascii="Bookman Old Style" w:hAnsi="Bookman Old Style"/>
          <w:spacing w:val="-3"/>
          <w:u w:val="single"/>
        </w:rPr>
        <w:t>Borton v. Emp. Sec. Div.</w:t>
      </w:r>
      <w:r w:rsidRPr="00D813A9">
        <w:rPr>
          <w:rFonts w:ascii="Bookman Old Style" w:hAnsi="Bookman Old Style"/>
          <w:spacing w:val="-3"/>
        </w:rPr>
        <w:t>, Super. Ct., 1KE-84-620 CI, (Alaska, October 10, 1985).</w:t>
      </w:r>
    </w:p>
    <w:p w:rsidR="007527DB" w:rsidRPr="00D813A9" w:rsidRDefault="007527DB" w:rsidP="007527DB">
      <w:pPr>
        <w:widowControl/>
        <w:tabs>
          <w:tab w:val="left" w:pos="-720"/>
          <w:tab w:val="left" w:pos="1440"/>
        </w:tabs>
        <w:suppressAutoHyphens/>
        <w:rPr>
          <w:rFonts w:ascii="Bookman Old Style" w:hAnsi="Bookman Old Style"/>
          <w:spacing w:val="-3"/>
        </w:rPr>
      </w:pPr>
    </w:p>
    <w:p w:rsidR="0078796F" w:rsidRPr="0046604B" w:rsidRDefault="0079125A"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not shown that a circumstance beyond his control prevented his appeal from being filed within the 30 time period. Therefore, the determination is final and the Tribunal has no authority to hear the appeal.</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9125A"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May 7, 2020</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79125A">
        <w:rPr>
          <w:rFonts w:ascii="Bookman Old Style" w:hAnsi="Bookman Old Style"/>
          <w:szCs w:val="24"/>
        </w:rPr>
        <w:t>April 26, 2021</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287" w:rsidRDefault="00B85287">
      <w:pPr>
        <w:widowControl/>
        <w:spacing w:line="20" w:lineRule="exact"/>
      </w:pPr>
    </w:p>
  </w:endnote>
  <w:endnote w:type="continuationSeparator" w:id="0">
    <w:p w:rsidR="00B85287" w:rsidRDefault="00B85287">
      <w:r>
        <w:t xml:space="preserve"> </w:t>
      </w:r>
    </w:p>
  </w:endnote>
  <w:endnote w:type="continuationNotice" w:id="1">
    <w:p w:rsidR="00B85287" w:rsidRDefault="00B852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9" w:rsidRDefault="00AA6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9" w:rsidRDefault="00AA6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9" w:rsidRDefault="00AA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287" w:rsidRDefault="00B85287">
      <w:r>
        <w:separator/>
      </w:r>
    </w:p>
  </w:footnote>
  <w:footnote w:type="continuationSeparator" w:id="0">
    <w:p w:rsidR="00B85287" w:rsidRDefault="00B8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9" w:rsidRDefault="00AA6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79125A" w:rsidP="00441D05">
    <w:pPr>
      <w:pStyle w:val="Header"/>
      <w:rPr>
        <w:rFonts w:ascii="Bookman Old Style" w:hAnsi="Bookman Old Style"/>
        <w:sz w:val="22"/>
      </w:rPr>
    </w:pPr>
    <w:r>
      <w:rPr>
        <w:rFonts w:ascii="Bookman Old Style" w:hAnsi="Bookman Old Style"/>
        <w:sz w:val="22"/>
      </w:rPr>
      <w:t>DK# 20 2318</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AA6179">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9" w:rsidRDefault="00AA6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539A9"/>
    <w:rsid w:val="00087A38"/>
    <w:rsid w:val="000903DE"/>
    <w:rsid w:val="000B3C03"/>
    <w:rsid w:val="000C07A1"/>
    <w:rsid w:val="000E242A"/>
    <w:rsid w:val="001249C2"/>
    <w:rsid w:val="00171C06"/>
    <w:rsid w:val="001F6B5B"/>
    <w:rsid w:val="00280EFF"/>
    <w:rsid w:val="002A1EF1"/>
    <w:rsid w:val="002D7F1A"/>
    <w:rsid w:val="00324065"/>
    <w:rsid w:val="00341DBC"/>
    <w:rsid w:val="00341E3C"/>
    <w:rsid w:val="00376D90"/>
    <w:rsid w:val="00382259"/>
    <w:rsid w:val="003E64D5"/>
    <w:rsid w:val="00441D05"/>
    <w:rsid w:val="0046604B"/>
    <w:rsid w:val="00476DC4"/>
    <w:rsid w:val="004D05FC"/>
    <w:rsid w:val="004E01C7"/>
    <w:rsid w:val="004F3BD6"/>
    <w:rsid w:val="004F7405"/>
    <w:rsid w:val="00591FFA"/>
    <w:rsid w:val="005A674B"/>
    <w:rsid w:val="005E0966"/>
    <w:rsid w:val="005E53D0"/>
    <w:rsid w:val="00682FEC"/>
    <w:rsid w:val="006C67EA"/>
    <w:rsid w:val="00703025"/>
    <w:rsid w:val="00713867"/>
    <w:rsid w:val="00746072"/>
    <w:rsid w:val="007527DB"/>
    <w:rsid w:val="00780095"/>
    <w:rsid w:val="00782350"/>
    <w:rsid w:val="0078796F"/>
    <w:rsid w:val="0079125A"/>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A6179"/>
    <w:rsid w:val="00AD5027"/>
    <w:rsid w:val="00AE37DC"/>
    <w:rsid w:val="00AE39CC"/>
    <w:rsid w:val="00B72674"/>
    <w:rsid w:val="00B757B0"/>
    <w:rsid w:val="00B85287"/>
    <w:rsid w:val="00BC45C9"/>
    <w:rsid w:val="00C56D4F"/>
    <w:rsid w:val="00C81ED9"/>
    <w:rsid w:val="00DA7658"/>
    <w:rsid w:val="00DB279F"/>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E8141"/>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BA92-EF78-41B7-9F6C-44BDC1E2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9</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4457</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4</cp:revision>
  <cp:lastPrinted>2021-04-26T23:44:00Z</cp:lastPrinted>
  <dcterms:created xsi:type="dcterms:W3CDTF">2021-04-26T23:35:00Z</dcterms:created>
  <dcterms:modified xsi:type="dcterms:W3CDTF">2021-04-27T00:15:00Z</dcterms:modified>
</cp:coreProperties>
</file>