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FF" w:rsidRDefault="00601DC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simplePos x="0" y="0"/>
            <wp:positionH relativeFrom="margin">
              <wp:posOffset>-786765</wp:posOffset>
            </wp:positionH>
            <wp:positionV relativeFrom="paragraph">
              <wp:posOffset>-458470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5E68FF" w:rsidRDefault="005E68FF" w:rsidP="005E68FF">
      <w:pPr>
        <w:pStyle w:val="Heading3"/>
        <w:widowControl/>
        <w:tabs>
          <w:tab w:val="center" w:pos="4680"/>
        </w:tabs>
        <w:suppressAutoHyphens/>
        <w:rPr>
          <w:rFonts w:ascii="Bookman Old Style" w:hAnsi="Bookman Old Style"/>
        </w:rPr>
      </w:pPr>
    </w:p>
    <w:p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rsidR="008C7255" w:rsidRDefault="008C7255">
      <w:pPr>
        <w:tabs>
          <w:tab w:val="center" w:pos="4680"/>
        </w:tabs>
        <w:suppressAutoHyphens/>
        <w:jc w:val="center"/>
        <w:rPr>
          <w:rFonts w:ascii="Bookman Old Style" w:hAnsi="Bookman Old Style"/>
          <w:b/>
        </w:rPr>
      </w:pPr>
    </w:p>
    <w:p w:rsidR="008C7255" w:rsidRPr="00E1431E" w:rsidRDefault="008C7255">
      <w:pPr>
        <w:tabs>
          <w:tab w:val="center" w:pos="4680"/>
        </w:tabs>
        <w:suppressAutoHyphens/>
        <w:jc w:val="center"/>
        <w:rPr>
          <w:rFonts w:ascii="Bookman Old Style" w:hAnsi="Bookman Old Style"/>
          <w:b/>
        </w:rPr>
      </w:pPr>
    </w:p>
    <w:p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D15D75">
        <w:rPr>
          <w:rFonts w:ascii="Bookman Old Style" w:hAnsi="Bookman Old Style"/>
        </w:rPr>
        <w:t>P20 126</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D15D75">
        <w:rPr>
          <w:rFonts w:ascii="Bookman Old Style" w:hAnsi="Bookman Old Style"/>
        </w:rPr>
        <w:t>December 4, 2020</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D15D75" w:rsidRDefault="00D15D75"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LEANN CALLAHAN</w:t>
      </w:r>
    </w:p>
    <w:p w:rsidR="00662CD6" w:rsidRDefault="00662CD6" w:rsidP="00E64C4D">
      <w:pPr>
        <w:widowControl/>
        <w:tabs>
          <w:tab w:val="left" w:pos="-1440"/>
          <w:tab w:val="left" w:pos="-720"/>
          <w:tab w:val="left" w:pos="0"/>
          <w:tab w:val="left" w:pos="5760"/>
        </w:tabs>
        <w:suppressAutoHyphens/>
        <w:ind w:right="-360"/>
        <w:rPr>
          <w:rFonts w:ascii="Bookman Old Style" w:hAnsi="Bookman Old Style"/>
        </w:rPr>
      </w:pPr>
    </w:p>
    <w:p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bookmarkStart w:id="0" w:name="_GoBack"/>
      <w:bookmarkEnd w:id="0"/>
      <w:r>
        <w:rPr>
          <w:rFonts w:ascii="Bookman Old Style" w:hAnsi="Bookman Old Style"/>
        </w:rPr>
        <w:tab/>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774034" w:rsidRDefault="00D15D75"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Leann Callahan</w:t>
      </w:r>
      <w:r w:rsidR="00395ECA">
        <w:rPr>
          <w:rFonts w:ascii="Bookman Old Style" w:hAnsi="Bookman Old Style"/>
        </w:rPr>
        <w:t xml:space="preserve">                                              </w:t>
      </w:r>
      <w:r>
        <w:rPr>
          <w:rFonts w:ascii="Bookman Old Style" w:hAnsi="Bookman Old Style"/>
        </w:rPr>
        <w:t>Richard Doogan</w:t>
      </w:r>
    </w:p>
    <w:p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rsidR="00E64C4D" w:rsidRPr="006F5C64" w:rsidRDefault="00E64C4D" w:rsidP="006F5C64">
      <w:pPr>
        <w:pStyle w:val="Heading4"/>
        <w:jc w:val="center"/>
        <w:rPr>
          <w:rFonts w:ascii="Bookman Old Style" w:hAnsi="Bookman Old Style"/>
          <w:sz w:val="24"/>
          <w:szCs w:val="24"/>
        </w:rPr>
      </w:pPr>
      <w:r w:rsidRPr="006F5C64">
        <w:rPr>
          <w:rFonts w:ascii="Bookman Old Style" w:hAnsi="Bookman Old Style"/>
          <w:sz w:val="24"/>
          <w:szCs w:val="24"/>
        </w:rPr>
        <w:t>CASE HISTORY</w:t>
      </w:r>
    </w:p>
    <w:p w:rsidR="00E64C4D" w:rsidRPr="00774034" w:rsidRDefault="00E64C4D" w:rsidP="00E64C4D">
      <w:pPr>
        <w:tabs>
          <w:tab w:val="left" w:pos="-1440"/>
          <w:tab w:val="left" w:pos="-720"/>
        </w:tabs>
        <w:rPr>
          <w:rFonts w:ascii="Bookman Old Style" w:hAnsi="Bookman Old Style"/>
        </w:rPr>
      </w:pPr>
    </w:p>
    <w:p w:rsidR="006F5C64" w:rsidRDefault="00E64C4D" w:rsidP="00601DCC">
      <w:pPr>
        <w:widowControl/>
        <w:rPr>
          <w:rFonts w:ascii="Bookman Old Style" w:hAnsi="Bookman Old Style"/>
          <w:snapToGrid/>
          <w:szCs w:val="24"/>
        </w:rPr>
      </w:pPr>
      <w:r w:rsidRPr="00C035D6">
        <w:rPr>
          <w:rFonts w:ascii="Bookman Old Style" w:hAnsi="Bookman Old Style"/>
          <w:snapToGrid/>
          <w:szCs w:val="24"/>
        </w:rPr>
        <w:t xml:space="preserve">The </w:t>
      </w:r>
      <w:r w:rsidR="00D15D75">
        <w:rPr>
          <w:rFonts w:ascii="Bookman Old Style" w:hAnsi="Bookman Old Style"/>
          <w:szCs w:val="24"/>
        </w:rPr>
        <w:t>claimant</w:t>
      </w:r>
      <w:r>
        <w:rPr>
          <w:rFonts w:ascii="Bookman Old Style" w:hAnsi="Bookman Old Style"/>
          <w:szCs w:val="24"/>
        </w:rPr>
        <w:t xml:space="preserve"> </w:t>
      </w:r>
      <w:r w:rsidRPr="00C035D6">
        <w:rPr>
          <w:rFonts w:ascii="Bookman Old Style" w:hAnsi="Bookman Old Style"/>
          <w:snapToGrid/>
          <w:szCs w:val="24"/>
        </w:rPr>
        <w:t>timely appealed a</w:t>
      </w:r>
      <w:r w:rsidR="00D15D75">
        <w:rPr>
          <w:rFonts w:ascii="Bookman Old Style" w:hAnsi="Bookman Old Style"/>
          <w:snapToGrid/>
          <w:szCs w:val="24"/>
        </w:rPr>
        <w:t>n</w:t>
      </w:r>
      <w:r w:rsidRPr="00C035D6">
        <w:rPr>
          <w:rFonts w:ascii="Bookman Old Style" w:hAnsi="Bookman Old Style"/>
          <w:snapToGrid/>
          <w:szCs w:val="24"/>
        </w:rPr>
        <w:t xml:space="preserve"> </w:t>
      </w:r>
      <w:r w:rsidR="00D15D75">
        <w:rPr>
          <w:rFonts w:ascii="Bookman Old Style" w:hAnsi="Bookman Old Style"/>
          <w:snapToGrid/>
          <w:szCs w:val="24"/>
        </w:rPr>
        <w:t>August 18, 2020</w:t>
      </w:r>
      <w:r w:rsidRPr="00C035D6">
        <w:rPr>
          <w:rFonts w:ascii="Bookman Old Style" w:hAnsi="Bookman Old Style"/>
          <w:snapToGrid/>
          <w:szCs w:val="24"/>
        </w:rPr>
        <w:t xml:space="preserve"> determination which </w:t>
      </w:r>
      <w:r w:rsidR="00D15D75">
        <w:rPr>
          <w:rFonts w:ascii="Bookman Old Style" w:hAnsi="Bookman Old Style"/>
          <w:szCs w:val="24"/>
        </w:rPr>
        <w:t>denied</w:t>
      </w:r>
      <w:r w:rsidRPr="00C035D6">
        <w:rPr>
          <w:rFonts w:ascii="Bookman Old Style" w:hAnsi="Bookman Old Style"/>
          <w:snapToGrid/>
          <w:szCs w:val="24"/>
        </w:rPr>
        <w:t xml:space="preserve"> </w:t>
      </w:r>
      <w:r w:rsidR="0099558B">
        <w:rPr>
          <w:rFonts w:ascii="Bookman Old Style" w:hAnsi="Bookman Old Style"/>
          <w:snapToGrid/>
          <w:szCs w:val="24"/>
        </w:rPr>
        <w:t>Pandemic Unemployment Assistance (P</w:t>
      </w:r>
      <w:r w:rsidR="00C74902">
        <w:rPr>
          <w:rFonts w:ascii="Bookman Old Style" w:hAnsi="Bookman Old Style"/>
          <w:snapToGrid/>
          <w:szCs w:val="24"/>
        </w:rPr>
        <w:t xml:space="preserve">UA) benefits under </w:t>
      </w:r>
      <w:r w:rsidR="0099558B">
        <w:rPr>
          <w:rFonts w:ascii="Bookman Old Style" w:hAnsi="Bookman Old Style"/>
          <w:snapToGrid/>
          <w:szCs w:val="24"/>
        </w:rPr>
        <w:t>t</w:t>
      </w:r>
      <w:r w:rsidR="00483DDE">
        <w:rPr>
          <w:rFonts w:ascii="Bookman Old Style" w:hAnsi="Bookman Old Style"/>
          <w:snapToGrid/>
          <w:szCs w:val="24"/>
        </w:rPr>
        <w:t>he CARES Act, Public Law</w:t>
      </w:r>
      <w:r w:rsidR="0099558B">
        <w:rPr>
          <w:rFonts w:ascii="Bookman Old Style" w:hAnsi="Bookman Old Style"/>
          <w:snapToGrid/>
          <w:szCs w:val="24"/>
        </w:rPr>
        <w:t xml:space="preserve"> 116-136</w:t>
      </w:r>
      <w:r w:rsidRPr="00C035D6">
        <w:rPr>
          <w:rFonts w:ascii="Bookman Old Style" w:hAnsi="Bookman Old Style"/>
          <w:snapToGrid/>
          <w:szCs w:val="24"/>
        </w:rPr>
        <w:t xml:space="preserve">. The issue before the Appeal Tribunal is whether the claimant </w:t>
      </w:r>
      <w:r w:rsidR="0099558B">
        <w:rPr>
          <w:rFonts w:ascii="Bookman Old Style" w:hAnsi="Bookman Old Style"/>
          <w:snapToGrid/>
          <w:szCs w:val="24"/>
        </w:rPr>
        <w:t>meets the eligibility requirements of the Act</w:t>
      </w:r>
      <w:r w:rsidR="00C74902">
        <w:rPr>
          <w:rFonts w:ascii="Bookman Old Style" w:hAnsi="Bookman Old Style"/>
          <w:snapToGrid/>
          <w:szCs w:val="24"/>
        </w:rPr>
        <w:t>.</w:t>
      </w:r>
    </w:p>
    <w:p w:rsidR="00601DCC" w:rsidRDefault="00601DCC" w:rsidP="00601DCC">
      <w:pPr>
        <w:widowControl/>
        <w:rPr>
          <w:rFonts w:ascii="Bookman Old Style" w:hAnsi="Bookman Old Style"/>
          <w:snapToGrid/>
          <w:szCs w:val="24"/>
        </w:rPr>
      </w:pPr>
    </w:p>
    <w:p w:rsidR="00E64C4D" w:rsidRPr="006F5C64" w:rsidRDefault="00E64C4D" w:rsidP="00601DCC">
      <w:pPr>
        <w:widowControl/>
        <w:ind w:left="2880" w:firstLine="720"/>
        <w:rPr>
          <w:rFonts w:ascii="Bookman Old Style" w:hAnsi="Bookman Old Style"/>
          <w:b/>
          <w:szCs w:val="24"/>
        </w:rPr>
      </w:pPr>
      <w:r w:rsidRPr="006F5C64">
        <w:rPr>
          <w:rFonts w:ascii="Bookman Old Style" w:hAnsi="Bookman Old Style"/>
          <w:b/>
          <w:szCs w:val="24"/>
        </w:rPr>
        <w:t>FINDINGS OF FACT</w:t>
      </w:r>
    </w:p>
    <w:p w:rsidR="00E64C4D" w:rsidRPr="006F5C64" w:rsidRDefault="00E64C4D" w:rsidP="00E64C4D">
      <w:pPr>
        <w:tabs>
          <w:tab w:val="left" w:pos="-1440"/>
          <w:tab w:val="left" w:pos="-720"/>
        </w:tabs>
        <w:rPr>
          <w:rFonts w:ascii="Bookman Old Style" w:hAnsi="Bookman Old Style"/>
          <w:szCs w:val="24"/>
        </w:rPr>
      </w:pPr>
    </w:p>
    <w:p w:rsidR="00E64C4D" w:rsidRDefault="00A45046" w:rsidP="00E64C4D">
      <w:pPr>
        <w:tabs>
          <w:tab w:val="left" w:pos="-1440"/>
          <w:tab w:val="left" w:pos="-720"/>
        </w:tabs>
        <w:rPr>
          <w:rFonts w:ascii="Bookman Old Style" w:hAnsi="Bookman Old Style"/>
        </w:rPr>
      </w:pPr>
      <w:r>
        <w:rPr>
          <w:rFonts w:ascii="Bookman Old Style" w:hAnsi="Bookman Old Style"/>
        </w:rPr>
        <w:t>The claimant worked as a deckhand on her boyfriend’s boat in 2019. She received a deckhand’s share of the catch</w:t>
      </w:r>
      <w:r w:rsidR="00C512FD">
        <w:rPr>
          <w:rFonts w:ascii="Bookman Old Style" w:hAnsi="Bookman Old Style"/>
        </w:rPr>
        <w:t xml:space="preserve"> of about $3000.00. She had a license as a deckhand to fish this year but did not as her boyfriend did not fish with any deckhands this year. The claimant had symptoms of COVID 19 at the beginning of the season. She did not get tested for COVID but self-quarantined. </w:t>
      </w:r>
    </w:p>
    <w:p w:rsidR="00C512FD" w:rsidRDefault="00C512FD" w:rsidP="00E64C4D">
      <w:pPr>
        <w:tabs>
          <w:tab w:val="left" w:pos="-1440"/>
          <w:tab w:val="left" w:pos="-720"/>
        </w:tabs>
        <w:rPr>
          <w:rFonts w:ascii="Bookman Old Style" w:hAnsi="Bookman Old Style"/>
        </w:rPr>
      </w:pPr>
    </w:p>
    <w:p w:rsidR="00C512FD" w:rsidRDefault="00C512FD" w:rsidP="00E64C4D">
      <w:pPr>
        <w:tabs>
          <w:tab w:val="left" w:pos="-1440"/>
          <w:tab w:val="left" w:pos="-720"/>
        </w:tabs>
        <w:rPr>
          <w:rFonts w:ascii="Bookman Old Style" w:hAnsi="Bookman Old Style"/>
        </w:rPr>
      </w:pPr>
      <w:r>
        <w:rPr>
          <w:rFonts w:ascii="Bookman Old Style" w:hAnsi="Bookman Old Style"/>
        </w:rPr>
        <w:t xml:space="preserve">The claimant was scheduled to interview in July with Arby’s but again experienced symptoms of COVID and self-quarantined again. She did not get tested at that time. </w:t>
      </w:r>
    </w:p>
    <w:p w:rsidR="00C512FD" w:rsidRDefault="00C512FD" w:rsidP="00E64C4D">
      <w:pPr>
        <w:tabs>
          <w:tab w:val="left" w:pos="-1440"/>
          <w:tab w:val="left" w:pos="-720"/>
        </w:tabs>
        <w:rPr>
          <w:rFonts w:ascii="Bookman Old Style" w:hAnsi="Bookman Old Style"/>
        </w:rPr>
      </w:pPr>
    </w:p>
    <w:p w:rsidR="00C512FD" w:rsidRDefault="00C512FD" w:rsidP="00E64C4D">
      <w:pPr>
        <w:tabs>
          <w:tab w:val="left" w:pos="-1440"/>
          <w:tab w:val="left" w:pos="-720"/>
        </w:tabs>
        <w:rPr>
          <w:rFonts w:ascii="Bookman Old Style" w:hAnsi="Bookman Old Style"/>
        </w:rPr>
      </w:pPr>
      <w:r>
        <w:rPr>
          <w:rFonts w:ascii="Bookman Old Style" w:hAnsi="Bookman Old Style"/>
        </w:rPr>
        <w:t>The claimant tested for COVID in November. Her test was negative for COVID. She began work in October.</w:t>
      </w:r>
    </w:p>
    <w:p w:rsidR="00601DCC" w:rsidRPr="00774034" w:rsidRDefault="00601DCC" w:rsidP="00E64C4D">
      <w:pPr>
        <w:tabs>
          <w:tab w:val="left" w:pos="-1440"/>
          <w:tab w:val="left" w:pos="-720"/>
        </w:tabs>
        <w:rPr>
          <w:rFonts w:ascii="Bookman Old Style" w:hAnsi="Bookman Old Style"/>
        </w:rPr>
      </w:pPr>
    </w:p>
    <w:p w:rsidR="00C74902" w:rsidRPr="006F5C64" w:rsidRDefault="00C74902" w:rsidP="006F5C64">
      <w:pPr>
        <w:autoSpaceDE w:val="0"/>
        <w:autoSpaceDN w:val="0"/>
        <w:adjustRightInd w:val="0"/>
        <w:ind w:left="2880" w:firstLine="720"/>
        <w:rPr>
          <w:rFonts w:ascii="Bookman Old Style" w:hAnsi="Bookman Old Style" w:cs="Verdana"/>
          <w:b/>
          <w:bCs/>
          <w:szCs w:val="24"/>
        </w:rPr>
      </w:pPr>
      <w:r w:rsidRPr="006F5C64">
        <w:rPr>
          <w:rFonts w:ascii="Bookman Old Style" w:hAnsi="Bookman Old Style" w:cs="Georgia"/>
          <w:b/>
          <w:bCs/>
          <w:szCs w:val="24"/>
        </w:rPr>
        <w:lastRenderedPageBreak/>
        <w:t xml:space="preserve">STATUTORY </w:t>
      </w:r>
      <w:r w:rsidRPr="006F5C64">
        <w:rPr>
          <w:rFonts w:ascii="Bookman Old Style" w:hAnsi="Bookman Old Style" w:cs="Verdana"/>
          <w:b/>
          <w:bCs/>
          <w:szCs w:val="24"/>
        </w:rPr>
        <w:t>PROVISIONS</w:t>
      </w:r>
    </w:p>
    <w:p w:rsidR="00F00EDF" w:rsidRDefault="00F00EDF" w:rsidP="00F00EDF">
      <w:pPr>
        <w:autoSpaceDE w:val="0"/>
        <w:autoSpaceDN w:val="0"/>
        <w:adjustRightInd w:val="0"/>
        <w:rPr>
          <w:rFonts w:ascii="Verdana" w:hAnsi="Verdana" w:cs="Verdana"/>
          <w:b/>
          <w:bCs/>
          <w:sz w:val="23"/>
          <w:szCs w:val="23"/>
        </w:rPr>
      </w:pPr>
    </w:p>
    <w:p w:rsidR="00483DDE" w:rsidRDefault="00483DDE" w:rsidP="00F00EDF">
      <w:pPr>
        <w:widowControl/>
        <w:rPr>
          <w:rFonts w:ascii="Bookman Old Style" w:hAnsi="Bookman Old Style"/>
          <w:b/>
        </w:rPr>
      </w:pPr>
      <w:r>
        <w:rPr>
          <w:rFonts w:ascii="Bookman Old Style" w:hAnsi="Bookman Old Style"/>
          <w:b/>
        </w:rPr>
        <w:t>AS 23.20.080 Federal-state cooperation</w:t>
      </w:r>
    </w:p>
    <w:p w:rsidR="00483DDE" w:rsidRDefault="00483DDE" w:rsidP="00F00EDF">
      <w:pPr>
        <w:widowControl/>
        <w:rPr>
          <w:rFonts w:ascii="Bookman Old Style" w:hAnsi="Bookman Old Style"/>
          <w:b/>
        </w:rPr>
      </w:pPr>
    </w:p>
    <w:p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rsidR="00483DDE" w:rsidRDefault="00483DDE" w:rsidP="00F00EDF">
      <w:pPr>
        <w:widowControl/>
        <w:rPr>
          <w:rFonts w:ascii="Bookman Old Style" w:hAnsi="Bookman Old Style"/>
          <w:b/>
        </w:rPr>
      </w:pPr>
    </w:p>
    <w:p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rsidR="0099558B" w:rsidRPr="00483DDE" w:rsidRDefault="0099558B" w:rsidP="00F00EDF">
      <w:pPr>
        <w:widowControl/>
        <w:rPr>
          <w:rFonts w:ascii="Bookman Old Style" w:hAnsi="Bookman Old Style" w:cs="Helvetica"/>
          <w:b/>
          <w:bCs/>
          <w:snapToGrid/>
          <w:szCs w:val="24"/>
          <w:lang w:val="en"/>
        </w:rPr>
      </w:pP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(A) </w:t>
      </w:r>
      <w:proofErr w:type="gramStart"/>
      <w:r w:rsidRPr="00483DDE">
        <w:rPr>
          <w:rFonts w:ascii="Bookman Old Style" w:hAnsi="Bookman Old Style" w:cs="Times"/>
          <w:color w:val="333333"/>
          <w:szCs w:val="24"/>
        </w:rPr>
        <w:t>means</w:t>
      </w:r>
      <w:proofErr w:type="gramEnd"/>
      <w:r w:rsidRPr="00483DDE">
        <w:rPr>
          <w:rFonts w:ascii="Bookman Old Style" w:hAnsi="Bookman Old Style" w:cs="Times"/>
          <w:color w:val="333333"/>
          <w:szCs w:val="24"/>
        </w:rPr>
        <w:t xml:space="preserve"> an individual who—</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provides</w:t>
      </w:r>
      <w:proofErr w:type="gramEnd"/>
      <w:r w:rsidRPr="00483DDE">
        <w:rPr>
          <w:rFonts w:ascii="Bookman Old Style" w:hAnsi="Bookman Old Style" w:cs="Times"/>
          <w:color w:val="333333"/>
          <w:szCs w:val="24"/>
        </w:rPr>
        <w:t xml:space="preserve"> self-certification that the individual—</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aa</w:t>
      </w:r>
      <w:proofErr w:type="gramEnd"/>
      <w:r w:rsidRPr="00483DDE">
        <w:rPr>
          <w:rFonts w:ascii="Bookman Old Style" w:hAnsi="Bookman Old Style" w:cs="Times"/>
          <w:color w:val="333333"/>
          <w:szCs w:val="24"/>
        </w:rPr>
        <w:t>) the individual has been diagnosed with COVID–19 or is experiencing symptoms of COVID–19 and seeking a medical diagnosis;</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bb</w:t>
      </w:r>
      <w:proofErr w:type="gramEnd"/>
      <w:r w:rsidRPr="00483DDE">
        <w:rPr>
          <w:rFonts w:ascii="Bookman Old Style" w:hAnsi="Bookman Old Style" w:cs="Times"/>
          <w:color w:val="333333"/>
          <w:szCs w:val="24"/>
        </w:rPr>
        <w:t>) a member of the individual's household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ee</w:t>
      </w:r>
      <w:proofErr w:type="gramEnd"/>
      <w:r w:rsidRPr="00483DDE">
        <w:rPr>
          <w:rFonts w:ascii="Bookman Old Style" w:hAnsi="Bookman Old Style" w:cs="Times"/>
          <w:color w:val="333333"/>
          <w:szCs w:val="24"/>
        </w:rPr>
        <w:t>) the individual is unable to reach the place of employment because of a quarantine imposed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ff</w:t>
      </w:r>
      <w:proofErr w:type="gramEnd"/>
      <w:r w:rsidRPr="00483DDE">
        <w:rPr>
          <w:rFonts w:ascii="Bookman Old Style" w:hAnsi="Bookman Old Style" w:cs="Times"/>
          <w:color w:val="333333"/>
          <w:szCs w:val="24"/>
        </w:rPr>
        <w:t>) the individual is unable to reach the place of employment because the individual has been advised by a health care provider to self-quarantine due to concerns related to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gg</w:t>
      </w:r>
      <w:proofErr w:type="gramEnd"/>
      <w:r w:rsidRPr="00483DDE">
        <w:rPr>
          <w:rFonts w:ascii="Bookman Old Style" w:hAnsi="Bookman Old Style" w:cs="Times"/>
          <w:color w:val="333333"/>
          <w:szCs w:val="24"/>
        </w:rPr>
        <w:t>) the individual was scheduled to commence employment and does not have a job or is unable to reach the job as a direct result of the COVID–19 public health emergency;</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hh</w:t>
      </w:r>
      <w:proofErr w:type="gramEnd"/>
      <w:r w:rsidRPr="00483DDE">
        <w:rPr>
          <w:rFonts w:ascii="Bookman Old Style" w:hAnsi="Bookman Old Style" w:cs="Times"/>
          <w:color w:val="333333"/>
          <w:szCs w:val="24"/>
        </w:rPr>
        <w:t>) the individual has become the breadwinner or major support for a household because the head of the household has died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(ii) </w:t>
      </w:r>
      <w:proofErr w:type="gramStart"/>
      <w:r w:rsidRPr="00483DDE">
        <w:rPr>
          <w:rFonts w:ascii="Bookman Old Style" w:hAnsi="Bookman Old Style" w:cs="Times"/>
          <w:color w:val="333333"/>
          <w:szCs w:val="24"/>
        </w:rPr>
        <w:t>the</w:t>
      </w:r>
      <w:proofErr w:type="gramEnd"/>
      <w:r w:rsidRPr="00483DDE">
        <w:rPr>
          <w:rFonts w:ascii="Bookman Old Style" w:hAnsi="Bookman Old Style" w:cs="Times"/>
          <w:color w:val="333333"/>
          <w:szCs w:val="24"/>
        </w:rPr>
        <w:t xml:space="preserve"> individual has to quit his or her job as a direct result of COVID–19;</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jj</w:t>
      </w:r>
      <w:proofErr w:type="gramEnd"/>
      <w:r w:rsidRPr="00483DDE">
        <w:rPr>
          <w:rFonts w:ascii="Bookman Old Style" w:hAnsi="Bookman Old Style" w:cs="Times"/>
          <w:color w:val="333333"/>
          <w:szCs w:val="24"/>
        </w:rPr>
        <w:t>) the individual's place of employment is closed as a direct result of the COVID–19 public health emergency;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gramStart"/>
      <w:r w:rsidRPr="00483DDE">
        <w:rPr>
          <w:rFonts w:ascii="Bookman Old Style" w:hAnsi="Bookman Old Style" w:cs="Times"/>
          <w:color w:val="333333"/>
          <w:szCs w:val="24"/>
        </w:rPr>
        <w:t>kk</w:t>
      </w:r>
      <w:proofErr w:type="gramEnd"/>
      <w:r w:rsidRPr="00483DDE">
        <w:rPr>
          <w:rFonts w:ascii="Bookman Old Style" w:hAnsi="Bookman Old Style" w:cs="Times"/>
          <w:color w:val="333333"/>
          <w:szCs w:val="24"/>
        </w:rPr>
        <w:t>) the individual meets any additional criteria established by the Secretary for unemployment assistance under this section; or</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 xml:space="preserve">(B) </w:t>
      </w:r>
      <w:proofErr w:type="gramStart"/>
      <w:r w:rsidRPr="00483DDE">
        <w:rPr>
          <w:rFonts w:ascii="Bookman Old Style" w:hAnsi="Bookman Old Style" w:cs="Times"/>
          <w:color w:val="333333"/>
          <w:szCs w:val="24"/>
        </w:rPr>
        <w:t>does</w:t>
      </w:r>
      <w:proofErr w:type="gramEnd"/>
      <w:r w:rsidRPr="00483DDE">
        <w:rPr>
          <w:rFonts w:ascii="Bookman Old Style" w:hAnsi="Bookman Old Style" w:cs="Times"/>
          <w:color w:val="333333"/>
          <w:szCs w:val="24"/>
        </w:rPr>
        <w:t xml:space="preserve"> not include—</w:t>
      </w:r>
    </w:p>
    <w:p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 xml:space="preserve">) </w:t>
      </w:r>
      <w:proofErr w:type="gramStart"/>
      <w:r w:rsidRPr="00483DDE">
        <w:rPr>
          <w:rFonts w:ascii="Bookman Old Style" w:hAnsi="Bookman Old Style" w:cs="Times"/>
          <w:color w:val="333333"/>
          <w:szCs w:val="24"/>
        </w:rPr>
        <w:t>an</w:t>
      </w:r>
      <w:proofErr w:type="gramEnd"/>
      <w:r w:rsidRPr="00483DDE">
        <w:rPr>
          <w:rFonts w:ascii="Bookman Old Style" w:hAnsi="Bookman Old Style" w:cs="Times"/>
          <w:color w:val="333333"/>
          <w:szCs w:val="24"/>
        </w:rPr>
        <w:t xml:space="preserve"> individual who has the ability to telework with pay; or</w:t>
      </w:r>
    </w:p>
    <w:p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w:t>
      </w:r>
      <w:proofErr w:type="spellStart"/>
      <w:r w:rsidRPr="00483DDE">
        <w:rPr>
          <w:rFonts w:ascii="Bookman Old Style" w:hAnsi="Bookman Old Style" w:cs="Times"/>
          <w:color w:val="333333"/>
          <w:szCs w:val="24"/>
        </w:rPr>
        <w:t>i</w:t>
      </w:r>
      <w:proofErr w:type="spellEnd"/>
      <w:r w:rsidRPr="00483DDE">
        <w:rPr>
          <w:rFonts w:ascii="Bookman Old Style" w:hAnsi="Bookman Old Style" w:cs="Times"/>
          <w:color w:val="333333"/>
          <w:szCs w:val="24"/>
        </w:rPr>
        <w:t>)(I).</w:t>
      </w:r>
    </w:p>
    <w:p w:rsidR="00926172" w:rsidRPr="00926172" w:rsidRDefault="00926172" w:rsidP="00926172">
      <w:pPr>
        <w:shd w:val="clear" w:color="auto" w:fill="FFFFFF"/>
        <w:spacing w:before="100" w:beforeAutospacing="1" w:after="100" w:afterAutospacing="1"/>
        <w:rPr>
          <w:rFonts w:ascii="Bookman Old Style" w:hAnsi="Bookman Old Style" w:cs="Times"/>
          <w:b/>
          <w:szCs w:val="24"/>
        </w:rPr>
      </w:pPr>
      <w:r w:rsidRPr="00926172">
        <w:rPr>
          <w:rFonts w:ascii="Bookman Old Style" w:hAnsi="Bookman Old Style" w:cs="Times"/>
          <w:b/>
          <w:szCs w:val="24"/>
        </w:rPr>
        <w:t xml:space="preserve">UIPL 16-20, Change 2 Issued </w:t>
      </w:r>
      <w:r>
        <w:rPr>
          <w:rFonts w:ascii="Bookman Old Style" w:hAnsi="Bookman Old Style" w:cs="Times"/>
          <w:b/>
          <w:szCs w:val="24"/>
        </w:rPr>
        <w:t xml:space="preserve">by USDOL </w:t>
      </w:r>
      <w:r w:rsidRPr="00926172">
        <w:rPr>
          <w:rFonts w:ascii="Bookman Old Style" w:hAnsi="Bookman Old Style" w:cs="Times"/>
          <w:b/>
          <w:szCs w:val="24"/>
        </w:rPr>
        <w:t>July 21, 2020</w:t>
      </w:r>
    </w:p>
    <w:p w:rsidR="00C512FD" w:rsidRDefault="00926172" w:rsidP="00601DCC">
      <w:pPr>
        <w:shd w:val="clear" w:color="auto" w:fill="FFFFFF"/>
        <w:rPr>
          <w:rFonts w:ascii="Bookman Old Style" w:hAnsi="Bookman Old Style"/>
        </w:rPr>
      </w:pPr>
      <w:r w:rsidRPr="00926172">
        <w:rPr>
          <w:rFonts w:ascii="Bookman Old Style" w:hAnsi="Bookman Old Style"/>
        </w:rPr>
        <w:t>Clarification on item (kk) of acceptable COVID-19 related reasons. Section 2102(a</w:t>
      </w:r>
      <w:proofErr w:type="gramStart"/>
      <w:r w:rsidRPr="00926172">
        <w:rPr>
          <w:rFonts w:ascii="Bookman Old Style" w:hAnsi="Bookman Old Style"/>
        </w:rPr>
        <w:t>)(</w:t>
      </w:r>
      <w:proofErr w:type="gramEnd"/>
      <w:r w:rsidRPr="00926172">
        <w:rPr>
          <w:rFonts w:ascii="Bookman Old Style" w:hAnsi="Bookman Old Style"/>
        </w:rPr>
        <w:t xml:space="preserve">3)(A)(ii)(I)(kk) of the CARES Act provides for the Secretary of Labor to establish any additional criteria under which an individual may self-certify </w:t>
      </w:r>
      <w:r w:rsidRPr="00926172">
        <w:rPr>
          <w:rFonts w:ascii="Bookman Old Style" w:hAnsi="Bookman Old Style"/>
        </w:rPr>
        <w:lastRenderedPageBreak/>
        <w:t xml:space="preserve">eligibility for PUA benefits. Section C.1.k. of Attachment I to UIPL No. 16-20 </w:t>
      </w:r>
      <w:r w:rsidRPr="00926172">
        <w:rPr>
          <w:rFonts w:ascii="Bookman Old Style" w:hAnsi="Bookman Old Style"/>
          <w:bCs/>
        </w:rPr>
        <w:t>provides for coverage of an independent contractor whose ability to continue performing his or her customary work activities is severely limited because of the COVID-19 public health emergency. The example provided includes a driver of a ride sharing service who has been forced to suspend operations because of COVID-19.</w:t>
      </w:r>
      <w:r w:rsidRPr="00926172">
        <w:rPr>
          <w:rFonts w:ascii="Bookman Old Style" w:hAnsi="Bookman Old Style"/>
        </w:rPr>
        <w:t xml:space="preserve"> Question 42 of Attachment I to UIPL No. 16- 20, </w:t>
      </w:r>
    </w:p>
    <w:p w:rsidR="00483DDE" w:rsidRDefault="00926172" w:rsidP="00601DCC">
      <w:pPr>
        <w:shd w:val="clear" w:color="auto" w:fill="FFFFFF"/>
        <w:rPr>
          <w:rFonts w:ascii="Bookman Old Style" w:hAnsi="Bookman Old Style"/>
          <w:bCs/>
        </w:rPr>
      </w:pPr>
      <w:r w:rsidRPr="00926172">
        <w:rPr>
          <w:rFonts w:ascii="Bookman Old Style" w:hAnsi="Bookman Old Style"/>
        </w:rPr>
        <w:t>Change 1, explains that an independent contractor who experiences a “significant diminution of work as a result of COVID-19” may be eligible for PUA. With these examples in UIPL Nos. 16-20 and 16-20, Change 1, the Secretary provides coverage under item (kk</w:t>
      </w:r>
      <w:r w:rsidRPr="00926172">
        <w:rPr>
          <w:rFonts w:ascii="Bookman Old Style" w:hAnsi="Bookman Old Style"/>
          <w:bCs/>
        </w:rPr>
        <w:t>) to those self-employed individuals who experienced a significant diminution of services because of the COVID-19 public health emergency, even absent a suspension of services.</w:t>
      </w:r>
    </w:p>
    <w:p w:rsidR="00601DCC" w:rsidRPr="00926172" w:rsidRDefault="00601DCC" w:rsidP="00601DCC">
      <w:pPr>
        <w:shd w:val="clear" w:color="auto" w:fill="FFFFFF"/>
        <w:rPr>
          <w:rFonts w:ascii="Bookman Old Style" w:hAnsi="Bookman Old Style" w:cs="Times"/>
          <w:bCs/>
          <w:szCs w:val="24"/>
        </w:rPr>
      </w:pPr>
    </w:p>
    <w:p w:rsidR="0016206D" w:rsidRPr="00E1431E" w:rsidRDefault="0016206D" w:rsidP="00601DCC">
      <w:pPr>
        <w:tabs>
          <w:tab w:val="center" w:pos="4860"/>
        </w:tabs>
        <w:suppressAutoHyphens/>
        <w:ind w:right="-360"/>
        <w:rPr>
          <w:rFonts w:ascii="Bookman Old Style" w:hAnsi="Bookman Old Style"/>
        </w:rPr>
      </w:pPr>
      <w:r w:rsidRPr="00E1431E">
        <w:rPr>
          <w:rFonts w:ascii="Bookman Old Style" w:hAnsi="Bookman Old Style"/>
          <w:b/>
        </w:rPr>
        <w:tab/>
        <w:t>CONCLUSION</w:t>
      </w:r>
    </w:p>
    <w:p w:rsidR="0016206D" w:rsidRPr="00E1431E" w:rsidRDefault="0016206D">
      <w:pPr>
        <w:tabs>
          <w:tab w:val="left" w:pos="-1440"/>
          <w:tab w:val="left" w:pos="-720"/>
        </w:tabs>
        <w:suppressAutoHyphens/>
        <w:ind w:right="-360"/>
        <w:rPr>
          <w:rFonts w:ascii="Bookman Old Style" w:hAnsi="Bookman Old Style"/>
        </w:rPr>
      </w:pPr>
    </w:p>
    <w:p w:rsidR="00C512FD" w:rsidRDefault="00C512FD" w:rsidP="00C512FD">
      <w:pPr>
        <w:pStyle w:val="psection-1"/>
        <w:spacing w:before="150" w:beforeAutospacing="0" w:after="150" w:afterAutospacing="0"/>
        <w:rPr>
          <w:rFonts w:ascii="Bookman Old Style" w:hAnsi="Bookman Old Style"/>
        </w:rPr>
      </w:pPr>
      <w:r>
        <w:rPr>
          <w:rStyle w:val="enumxml"/>
          <w:rFonts w:ascii="Bookman Old Style" w:hAnsi="Bookman Old Style"/>
        </w:rPr>
        <w:t>The U.S. Department of Labor’s</w:t>
      </w:r>
      <w:r>
        <w:rPr>
          <w:rStyle w:val="enumxml"/>
          <w:rFonts w:ascii="Bookman Old Style" w:hAnsi="Bookman Old Style"/>
          <w:u w:val="single"/>
        </w:rPr>
        <w:t xml:space="preserve"> Unemployment Insurance Program Letter 1620, Attachment 1</w:t>
      </w:r>
      <w:r>
        <w:rPr>
          <w:rStyle w:val="enumxml"/>
          <w:rFonts w:ascii="Bookman Old Style" w:hAnsi="Bookman Old Style"/>
        </w:rPr>
        <w:t xml:space="preserve">, issued April 5, 2020 provides operating instructions for states administering the federal Pandemic Unemployment Assistance program. States are advised that a determination about whether actions are a “direct result” of the COVID-19 pandemic should be made based on 20 C.F.R. 625.5(c), which is a federal regulation for the administration of the federal Disaster Unemployment Assistance program. The regulation reads: </w:t>
      </w:r>
      <w:r>
        <w:rPr>
          <w:rFonts w:ascii="Bookman Old Style" w:hAnsi="Bookman Old Style"/>
        </w:rPr>
        <w:t> </w:t>
      </w:r>
    </w:p>
    <w:p w:rsidR="00C512FD" w:rsidRDefault="00C512FD" w:rsidP="00C512FD">
      <w:pPr>
        <w:pStyle w:val="psection-1"/>
        <w:spacing w:before="150" w:beforeAutospacing="0" w:after="150" w:afterAutospacing="0"/>
        <w:ind w:left="810"/>
        <w:rPr>
          <w:rFonts w:ascii="Bookman Old Style" w:hAnsi="Bookman Old Style"/>
          <w:i/>
          <w:iCs/>
        </w:rPr>
      </w:pPr>
      <w:r>
        <w:rPr>
          <w:rStyle w:val="et03"/>
          <w:rFonts w:ascii="Bookman Old Style" w:hAnsi="Bookman Old Style"/>
          <w:b/>
          <w:bCs/>
          <w:i/>
          <w:iCs/>
        </w:rPr>
        <w:t>Unemployment is a direct result of the major disaster.</w:t>
      </w:r>
      <w:r>
        <w:rPr>
          <w:rFonts w:ascii="Bookman Old Style" w:hAnsi="Bookman Old Style"/>
          <w:i/>
          <w:iCs/>
        </w:rPr>
        <w:t xml:space="preserve"> For the purposes of paragraphs (a)(1) and (b)(1) of this section, a worker's or </w:t>
      </w:r>
      <w:hyperlink r:id="rId9" w:history="1">
        <w:r>
          <w:rPr>
            <w:rStyle w:val="Hyperlink"/>
            <w:rFonts w:ascii="Bookman Old Style" w:hAnsi="Bookman Old Style"/>
            <w:i/>
            <w:iCs/>
          </w:rPr>
          <w:t>self-employed individual</w:t>
        </w:r>
      </w:hyperlink>
      <w:r>
        <w:rPr>
          <w:rFonts w:ascii="Bookman Old Style" w:hAnsi="Bookman Old Style"/>
          <w:i/>
          <w:iCs/>
        </w:rPr>
        <w:t xml:space="preserve">'s </w:t>
      </w:r>
      <w:r w:rsidRPr="006E4446">
        <w:rPr>
          <w:rFonts w:ascii="Bookman Old Style" w:hAnsi="Bookman Old Style"/>
          <w:i/>
          <w:iCs/>
        </w:rPr>
        <w:t xml:space="preserve">unemployment is a direct result of the </w:t>
      </w:r>
      <w:hyperlink r:id="rId10" w:history="1">
        <w:r w:rsidRPr="006E4446">
          <w:rPr>
            <w:rStyle w:val="Hyperlink"/>
            <w:rFonts w:ascii="Bookman Old Style" w:hAnsi="Bookman Old Style"/>
            <w:i/>
            <w:iCs/>
          </w:rPr>
          <w:t>major disaster</w:t>
        </w:r>
      </w:hyperlink>
      <w:r w:rsidRPr="006E4446">
        <w:rPr>
          <w:rFonts w:ascii="Bookman Old Style" w:hAnsi="Bookman Old Style"/>
          <w:i/>
          <w:iCs/>
        </w:rPr>
        <w:t xml:space="preserve"> where the unemployment is an immediate result of the </w:t>
      </w:r>
      <w:hyperlink r:id="rId11" w:history="1">
        <w:r w:rsidRPr="006E4446">
          <w:rPr>
            <w:rStyle w:val="Hyperlink"/>
            <w:rFonts w:ascii="Bookman Old Style" w:hAnsi="Bookman Old Style"/>
            <w:i/>
            <w:iCs/>
          </w:rPr>
          <w:t>major disaster</w:t>
        </w:r>
      </w:hyperlink>
      <w:r w:rsidRPr="006E4446">
        <w:rPr>
          <w:rFonts w:ascii="Bookman Old Style" w:hAnsi="Bookman Old Style"/>
          <w:i/>
          <w:iCs/>
        </w:rPr>
        <w:t xml:space="preserve"> itself, and not the result of a longer chain of events precipitated or exacerbated by the disaster.</w:t>
      </w:r>
      <w:r>
        <w:rPr>
          <w:rFonts w:ascii="Bookman Old Style" w:hAnsi="Bookman Old Style"/>
          <w:i/>
          <w:iCs/>
        </w:rPr>
        <w:t xml:space="preserve"> Such an individual's unemployment is a direct result of the </w:t>
      </w:r>
      <w:hyperlink r:id="rId12" w:history="1">
        <w:r>
          <w:rPr>
            <w:rStyle w:val="Hyperlink"/>
            <w:rFonts w:ascii="Bookman Old Style" w:hAnsi="Bookman Old Style"/>
            <w:i/>
            <w:iCs/>
          </w:rPr>
          <w:t>major disaster</w:t>
        </w:r>
      </w:hyperlink>
      <w:r>
        <w:rPr>
          <w:rFonts w:ascii="Bookman Old Style" w:hAnsi="Bookman Old Style"/>
          <w:i/>
          <w:iCs/>
        </w:rPr>
        <w:t xml:space="preserve"> if the unemployment resulted from: </w:t>
      </w:r>
    </w:p>
    <w:p w:rsidR="00C512FD" w:rsidRDefault="00C512FD" w:rsidP="00C512FD">
      <w:pPr>
        <w:pStyle w:val="psection-2"/>
        <w:spacing w:before="0" w:beforeAutospacing="0" w:after="150" w:afterAutospacing="0"/>
        <w:ind w:left="1350"/>
        <w:rPr>
          <w:rFonts w:ascii="Bookman Old Style" w:hAnsi="Bookman Old Style"/>
          <w:i/>
          <w:iCs/>
        </w:rPr>
      </w:pPr>
      <w:r>
        <w:rPr>
          <w:rStyle w:val="enumxml"/>
          <w:rFonts w:ascii="Bookman Old Style" w:hAnsi="Bookman Old Style"/>
          <w:i/>
          <w:iCs/>
        </w:rPr>
        <w:t>(1)</w:t>
      </w:r>
      <w:r>
        <w:rPr>
          <w:rFonts w:ascii="Bookman Old Style" w:hAnsi="Bookman Old Style"/>
          <w:i/>
          <w:iCs/>
        </w:rPr>
        <w:t xml:space="preserve"> The physical damage or destruction of the place of employment; </w:t>
      </w:r>
    </w:p>
    <w:p w:rsidR="00C512FD" w:rsidRDefault="00C512FD" w:rsidP="00C512FD">
      <w:pPr>
        <w:pStyle w:val="psection-2"/>
        <w:spacing w:before="0" w:beforeAutospacing="0" w:after="150" w:afterAutospacing="0"/>
        <w:ind w:left="1350"/>
        <w:rPr>
          <w:rFonts w:ascii="Bookman Old Style" w:hAnsi="Bookman Old Style"/>
          <w:i/>
          <w:iCs/>
        </w:rPr>
      </w:pPr>
      <w:r>
        <w:rPr>
          <w:rStyle w:val="enumxml"/>
          <w:rFonts w:ascii="Bookman Old Style" w:hAnsi="Bookman Old Style"/>
          <w:i/>
          <w:iCs/>
        </w:rPr>
        <w:t>(2)</w:t>
      </w:r>
      <w:r>
        <w:rPr>
          <w:rFonts w:ascii="Bookman Old Style" w:hAnsi="Bookman Old Style"/>
          <w:i/>
          <w:iCs/>
        </w:rPr>
        <w:t xml:space="preserve"> The physical inaccessibility of the place of employment in the </w:t>
      </w:r>
      <w:hyperlink r:id="rId13" w:history="1">
        <w:r>
          <w:rPr>
            <w:rStyle w:val="Hyperlink"/>
            <w:rFonts w:ascii="Bookman Old Style" w:hAnsi="Bookman Old Style"/>
            <w:i/>
            <w:iCs/>
          </w:rPr>
          <w:t>major disaster area</w:t>
        </w:r>
      </w:hyperlink>
      <w:r>
        <w:rPr>
          <w:rFonts w:ascii="Bookman Old Style" w:hAnsi="Bookman Old Style"/>
          <w:i/>
          <w:iCs/>
        </w:rPr>
        <w:t xml:space="preserve"> due to its closure by or at the request of the federal, </w:t>
      </w:r>
      <w:hyperlink r:id="rId14" w:history="1">
        <w:r>
          <w:rPr>
            <w:rStyle w:val="Hyperlink"/>
            <w:rFonts w:ascii="Bookman Old Style" w:hAnsi="Bookman Old Style"/>
            <w:i/>
            <w:iCs/>
          </w:rPr>
          <w:t>state</w:t>
        </w:r>
      </w:hyperlink>
      <w:r>
        <w:rPr>
          <w:rFonts w:ascii="Bookman Old Style" w:hAnsi="Bookman Old Style"/>
          <w:i/>
          <w:iCs/>
        </w:rPr>
        <w:t xml:space="preserve"> or local government, in immediate response to the disaster; or </w:t>
      </w:r>
    </w:p>
    <w:p w:rsidR="00C512FD" w:rsidRDefault="00C512FD" w:rsidP="00C512FD">
      <w:pPr>
        <w:pStyle w:val="psection-2"/>
        <w:spacing w:before="0" w:beforeAutospacing="0" w:after="150" w:afterAutospacing="0"/>
        <w:ind w:left="1350"/>
        <w:rPr>
          <w:rFonts w:ascii="Bookman Old Style" w:hAnsi="Bookman Old Style"/>
          <w:i/>
          <w:iCs/>
        </w:rPr>
      </w:pPr>
      <w:r>
        <w:rPr>
          <w:rStyle w:val="enumxml"/>
          <w:rFonts w:ascii="Bookman Old Style" w:hAnsi="Bookman Old Style"/>
          <w:i/>
          <w:iCs/>
        </w:rPr>
        <w:t>(3)</w:t>
      </w:r>
      <w:r>
        <w:rPr>
          <w:rFonts w:ascii="Bookman Old Style" w:hAnsi="Bookman Old Style"/>
          <w:i/>
          <w:iCs/>
        </w:rPr>
        <w:t xml:space="preserve"> Lack of work, or loss of revenues, provided that, prior to the disaster, the </w:t>
      </w:r>
      <w:hyperlink r:id="rId15" w:history="1">
        <w:r>
          <w:rPr>
            <w:rStyle w:val="Hyperlink"/>
            <w:rFonts w:ascii="Bookman Old Style" w:hAnsi="Bookman Old Style"/>
            <w:i/>
            <w:iCs/>
          </w:rPr>
          <w:t>employer</w:t>
        </w:r>
      </w:hyperlink>
      <w:r>
        <w:rPr>
          <w:rFonts w:ascii="Bookman Old Style" w:hAnsi="Bookman Old Style"/>
          <w:i/>
          <w:iCs/>
        </w:rPr>
        <w:t xml:space="preserve">, or the business in the case of a </w:t>
      </w:r>
      <w:hyperlink r:id="rId16" w:history="1">
        <w:r>
          <w:rPr>
            <w:rStyle w:val="Hyperlink"/>
            <w:rFonts w:ascii="Bookman Old Style" w:hAnsi="Bookman Old Style"/>
            <w:i/>
            <w:iCs/>
          </w:rPr>
          <w:t>self-employed individual</w:t>
        </w:r>
      </w:hyperlink>
      <w:r>
        <w:rPr>
          <w:rFonts w:ascii="Bookman Old Style" w:hAnsi="Bookman Old Style"/>
          <w:i/>
          <w:iCs/>
        </w:rPr>
        <w:t xml:space="preserve">, received at least a majority of its revenue or </w:t>
      </w:r>
      <w:hyperlink r:id="rId17" w:history="1">
        <w:r>
          <w:rPr>
            <w:rStyle w:val="Hyperlink"/>
            <w:rFonts w:ascii="Bookman Old Style" w:hAnsi="Bookman Old Style"/>
            <w:i/>
            <w:iCs/>
          </w:rPr>
          <w:t>income</w:t>
        </w:r>
      </w:hyperlink>
      <w:r>
        <w:rPr>
          <w:rFonts w:ascii="Bookman Old Style" w:hAnsi="Bookman Old Style"/>
          <w:i/>
          <w:iCs/>
        </w:rPr>
        <w:t xml:space="preserve"> from an entity in the </w:t>
      </w:r>
      <w:hyperlink r:id="rId18" w:history="1">
        <w:r>
          <w:rPr>
            <w:rStyle w:val="Hyperlink"/>
            <w:rFonts w:ascii="Bookman Old Style" w:hAnsi="Bookman Old Style"/>
            <w:i/>
            <w:iCs/>
          </w:rPr>
          <w:t>major disaster area</w:t>
        </w:r>
      </w:hyperlink>
      <w:r>
        <w:rPr>
          <w:rFonts w:ascii="Bookman Old Style" w:hAnsi="Bookman Old Style"/>
          <w:i/>
          <w:iCs/>
        </w:rPr>
        <w:t xml:space="preserve"> that was either damaged or destroyed in the disaster, or an entity in the </w:t>
      </w:r>
      <w:hyperlink r:id="rId19" w:history="1">
        <w:r>
          <w:rPr>
            <w:rStyle w:val="Hyperlink"/>
            <w:rFonts w:ascii="Bookman Old Style" w:hAnsi="Bookman Old Style"/>
            <w:i/>
            <w:iCs/>
          </w:rPr>
          <w:t>major disaster area</w:t>
        </w:r>
      </w:hyperlink>
      <w:r>
        <w:rPr>
          <w:rFonts w:ascii="Bookman Old Style" w:hAnsi="Bookman Old Style"/>
          <w:i/>
          <w:iCs/>
        </w:rPr>
        <w:t xml:space="preserve"> closed by the federal, </w:t>
      </w:r>
      <w:hyperlink r:id="rId20" w:history="1">
        <w:r>
          <w:rPr>
            <w:rStyle w:val="Hyperlink"/>
            <w:rFonts w:ascii="Bookman Old Style" w:hAnsi="Bookman Old Style"/>
            <w:i/>
            <w:iCs/>
          </w:rPr>
          <w:t>state</w:t>
        </w:r>
      </w:hyperlink>
      <w:r>
        <w:rPr>
          <w:rFonts w:ascii="Bookman Old Style" w:hAnsi="Bookman Old Style"/>
          <w:i/>
          <w:iCs/>
        </w:rPr>
        <w:t xml:space="preserve"> or local government in immediate response to the disaster. </w:t>
      </w:r>
    </w:p>
    <w:p w:rsidR="0016206D" w:rsidRDefault="00C512FD">
      <w:pPr>
        <w:tabs>
          <w:tab w:val="left" w:pos="-1440"/>
          <w:tab w:val="left" w:pos="-720"/>
        </w:tabs>
        <w:suppressAutoHyphens/>
        <w:ind w:right="-360"/>
        <w:rPr>
          <w:rFonts w:ascii="Bookman Old Style" w:hAnsi="Bookman Old Style"/>
        </w:rPr>
      </w:pPr>
      <w:r>
        <w:rPr>
          <w:rFonts w:ascii="Bookman Old Style" w:hAnsi="Bookman Old Style"/>
        </w:rPr>
        <w:lastRenderedPageBreak/>
        <w:t xml:space="preserve">The claimant has not shown that her employment was directly affected by COVID 19. The testimony provided shows </w:t>
      </w:r>
      <w:r w:rsidR="00372D88">
        <w:rPr>
          <w:rFonts w:ascii="Bookman Old Style" w:hAnsi="Bookman Old Style"/>
        </w:rPr>
        <w:t>unemployment exacerbated by the pandemic rather than a direct result of the pandemic. Therefore, she cannot be held to be a covered individual.</w:t>
      </w:r>
    </w:p>
    <w:p w:rsidR="00372D88" w:rsidRPr="00E1431E" w:rsidRDefault="00372D88">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ind w:right="-360"/>
        <w:rPr>
          <w:rFonts w:ascii="Bookman Old Style" w:hAnsi="Bookman Old Style"/>
        </w:rPr>
      </w:pPr>
    </w:p>
    <w:p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rsidR="0016206D" w:rsidRPr="00E1431E" w:rsidRDefault="0016206D">
      <w:pPr>
        <w:tabs>
          <w:tab w:val="left" w:pos="-1440"/>
          <w:tab w:val="left" w:pos="-720"/>
        </w:tabs>
        <w:suppressAutoHyphens/>
        <w:rPr>
          <w:rFonts w:ascii="Bookman Old Style" w:hAnsi="Bookman Old Style"/>
        </w:rPr>
      </w:pPr>
    </w:p>
    <w:p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372D88">
        <w:rPr>
          <w:rFonts w:ascii="Bookman Old Style" w:hAnsi="Bookman Old Style"/>
          <w:snapToGrid/>
          <w:szCs w:val="24"/>
        </w:rPr>
        <w:t>August 18, 2020</w:t>
      </w:r>
      <w:r w:rsidRPr="003F54EA">
        <w:rPr>
          <w:rFonts w:ascii="Bookman Old Style" w:hAnsi="Bookman Old Style"/>
          <w:snapToGrid/>
          <w:szCs w:val="24"/>
        </w:rPr>
        <w:t xml:space="preserve"> is </w:t>
      </w:r>
      <w:r w:rsidR="00372D88">
        <w:rPr>
          <w:rFonts w:ascii="Bookman Old Style" w:hAnsi="Bookman Old Style"/>
          <w:b/>
          <w:snapToGrid/>
          <w:szCs w:val="24"/>
        </w:rPr>
        <w:t>AFFIRMED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372D88">
        <w:rPr>
          <w:rFonts w:ascii="Bookman Old Style" w:hAnsi="Bookman Old Style"/>
        </w:rPr>
        <w:t>is not</w:t>
      </w:r>
      <w:r w:rsidR="00483DDE">
        <w:rPr>
          <w:rFonts w:ascii="Bookman Old Style" w:hAnsi="Bookman Old Style"/>
          <w:snapToGrid/>
          <w:szCs w:val="24"/>
        </w:rPr>
        <w:t xml:space="preserve"> eligible for benefits from the Pandemic Unemployment Assistance (PUA) program.</w:t>
      </w:r>
    </w:p>
    <w:p w:rsidR="0016206D" w:rsidRPr="00E1431E" w:rsidRDefault="0016206D">
      <w:pPr>
        <w:tabs>
          <w:tab w:val="left" w:pos="-1440"/>
          <w:tab w:val="left" w:pos="-720"/>
        </w:tabs>
        <w:suppressAutoHyphens/>
        <w:ind w:right="-360"/>
        <w:rPr>
          <w:rFonts w:ascii="Bookman Old Style" w:hAnsi="Bookman Old Style"/>
        </w:rPr>
      </w:pPr>
    </w:p>
    <w:p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rsidR="00301A4C" w:rsidRPr="00301A4C" w:rsidRDefault="00301A4C" w:rsidP="00301A4C"/>
    <w:p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372D88">
        <w:rPr>
          <w:rFonts w:ascii="Bookman Old Style" w:hAnsi="Bookman Old Style"/>
          <w:szCs w:val="24"/>
        </w:rPr>
        <w:t>December 15, 2020</w:t>
      </w:r>
      <w:r w:rsidRPr="00D82DF6">
        <w:rPr>
          <w:rFonts w:ascii="Bookman Old Style" w:hAnsi="Bookman Old Style"/>
          <w:szCs w:val="24"/>
        </w:rPr>
        <w:t>.</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1E0872" w:rsidRPr="00D82DF6" w:rsidRDefault="001E0872" w:rsidP="001E0872">
      <w:pPr>
        <w:tabs>
          <w:tab w:val="left" w:pos="-1440"/>
          <w:tab w:val="left" w:pos="-720"/>
        </w:tabs>
        <w:rPr>
          <w:rFonts w:ascii="Bookman Old Style" w:hAnsi="Bookman Old Style"/>
          <w:szCs w:val="24"/>
        </w:rPr>
      </w:pPr>
    </w:p>
    <w:p w:rsidR="00601DCC"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601DCC">
        <w:rPr>
          <w:rFonts w:ascii="Bookman Old Style" w:hAnsi="Bookman Old Style"/>
          <w:szCs w:val="24"/>
        </w:rPr>
        <w:tab/>
        <w:t>Tom Mize</w:t>
      </w:r>
      <w:r w:rsidRPr="00D82DF6">
        <w:rPr>
          <w:rFonts w:ascii="Bookman Old Style" w:hAnsi="Bookman Old Style"/>
          <w:szCs w:val="24"/>
        </w:rPr>
        <w:t xml:space="preserve"> </w:t>
      </w:r>
    </w:p>
    <w:p w:rsidR="001E0872" w:rsidRPr="00D82DF6" w:rsidRDefault="00601DCC" w:rsidP="001E0872">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sidR="001E0872">
        <w:rPr>
          <w:rFonts w:ascii="Bookman Old Style" w:hAnsi="Bookman Old Style"/>
          <w:szCs w:val="24"/>
        </w:rPr>
        <w:t>Appeals</w:t>
      </w:r>
      <w:r w:rsidR="001E0872" w:rsidRPr="00D82DF6">
        <w:rPr>
          <w:rFonts w:ascii="Bookman Old Style" w:hAnsi="Bookman Old Style"/>
          <w:szCs w:val="24"/>
        </w:rPr>
        <w:t xml:space="preserve"> Officer</w:t>
      </w:r>
    </w:p>
    <w:p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21"/>
      <w:headerReference w:type="default" r:id="rId22"/>
      <w:footerReference w:type="even" r:id="rId23"/>
      <w:footerReference w:type="default" r:id="rId24"/>
      <w:headerReference w:type="first" r:id="rId25"/>
      <w:footerReference w:type="first" r:id="rId26"/>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428F" w:rsidRDefault="0068428F">
      <w:pPr>
        <w:widowControl/>
        <w:spacing w:line="20" w:lineRule="exact"/>
      </w:pPr>
    </w:p>
  </w:endnote>
  <w:endnote w:type="continuationSeparator" w:id="0">
    <w:p w:rsidR="0068428F" w:rsidRDefault="0068428F">
      <w:r>
        <w:t xml:space="preserve"> </w:t>
      </w:r>
    </w:p>
  </w:endnote>
  <w:endnote w:type="continuationNotice" w:id="1">
    <w:p w:rsidR="0068428F" w:rsidRDefault="006842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88" w:rsidRDefault="00372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88" w:rsidRDefault="00372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88" w:rsidRDefault="00372D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428F" w:rsidRDefault="0068428F">
      <w:r>
        <w:separator/>
      </w:r>
    </w:p>
  </w:footnote>
  <w:footnote w:type="continuationSeparator" w:id="0">
    <w:p w:rsidR="0068428F" w:rsidRDefault="0068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88" w:rsidRDefault="00372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CC3" w:rsidRPr="00212047" w:rsidRDefault="00C5117C" w:rsidP="00FB7CC3">
    <w:pPr>
      <w:pStyle w:val="Header"/>
      <w:rPr>
        <w:rFonts w:ascii="Bookman Old Style" w:hAnsi="Bookman Old Style"/>
        <w:sz w:val="22"/>
      </w:rPr>
    </w:pPr>
    <w:r>
      <w:rPr>
        <w:rFonts w:ascii="Bookman Old Style" w:hAnsi="Bookman Old Style"/>
        <w:sz w:val="22"/>
      </w:rPr>
      <w:t>D</w:t>
    </w:r>
    <w:r w:rsidR="00C512FD">
      <w:rPr>
        <w:rFonts w:ascii="Bookman Old Style" w:hAnsi="Bookman Old Style"/>
        <w:sz w:val="22"/>
      </w:rPr>
      <w:t>ocket # P20 126</w:t>
    </w:r>
  </w:p>
  <w:p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662CD6">
      <w:rPr>
        <w:rStyle w:val="PageNumber"/>
        <w:rFonts w:ascii="Bookman Old Style" w:hAnsi="Bookman Old Style"/>
        <w:noProof/>
        <w:sz w:val="22"/>
      </w:rPr>
      <w:t>5</w:t>
    </w:r>
    <w:r>
      <w:rPr>
        <w:rStyle w:val="PageNumber"/>
        <w:rFonts w:ascii="Bookman Old Style" w:hAnsi="Bookman Old Style"/>
        <w:sz w:val="22"/>
      </w:rPr>
      <w:fldChar w:fldCharType="end"/>
    </w:r>
  </w:p>
  <w:p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D88" w:rsidRDefault="0037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1"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4"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CC"/>
    <w:rsid w:val="00015E49"/>
    <w:rsid w:val="000340B8"/>
    <w:rsid w:val="00074ABC"/>
    <w:rsid w:val="000B1B0E"/>
    <w:rsid w:val="000C468C"/>
    <w:rsid w:val="0016206D"/>
    <w:rsid w:val="00184E40"/>
    <w:rsid w:val="001E0352"/>
    <w:rsid w:val="001E0872"/>
    <w:rsid w:val="001F25F2"/>
    <w:rsid w:val="00220C00"/>
    <w:rsid w:val="0023506F"/>
    <w:rsid w:val="00246F0A"/>
    <w:rsid w:val="002604BE"/>
    <w:rsid w:val="00261254"/>
    <w:rsid w:val="00266979"/>
    <w:rsid w:val="0029387F"/>
    <w:rsid w:val="002C3038"/>
    <w:rsid w:val="00301A4C"/>
    <w:rsid w:val="00307513"/>
    <w:rsid w:val="0030752B"/>
    <w:rsid w:val="00314A4A"/>
    <w:rsid w:val="003340A2"/>
    <w:rsid w:val="00335286"/>
    <w:rsid w:val="0034160B"/>
    <w:rsid w:val="00360CCE"/>
    <w:rsid w:val="00372D88"/>
    <w:rsid w:val="0037410D"/>
    <w:rsid w:val="00395ECA"/>
    <w:rsid w:val="003A08AE"/>
    <w:rsid w:val="003A0E29"/>
    <w:rsid w:val="003C3EA6"/>
    <w:rsid w:val="003E333B"/>
    <w:rsid w:val="003F54EA"/>
    <w:rsid w:val="004134B5"/>
    <w:rsid w:val="00414E35"/>
    <w:rsid w:val="00440F6D"/>
    <w:rsid w:val="00454952"/>
    <w:rsid w:val="00477B3C"/>
    <w:rsid w:val="00483DDE"/>
    <w:rsid w:val="005840C2"/>
    <w:rsid w:val="005A25FF"/>
    <w:rsid w:val="005B4E49"/>
    <w:rsid w:val="005D69D2"/>
    <w:rsid w:val="005E68FF"/>
    <w:rsid w:val="00601DCC"/>
    <w:rsid w:val="00662CD6"/>
    <w:rsid w:val="0068428F"/>
    <w:rsid w:val="006B044C"/>
    <w:rsid w:val="006B6284"/>
    <w:rsid w:val="006C6858"/>
    <w:rsid w:val="006E42A3"/>
    <w:rsid w:val="006E4A6A"/>
    <w:rsid w:val="006E67C4"/>
    <w:rsid w:val="006F5C64"/>
    <w:rsid w:val="007264A1"/>
    <w:rsid w:val="00781D4B"/>
    <w:rsid w:val="00803703"/>
    <w:rsid w:val="00845F5C"/>
    <w:rsid w:val="0089544B"/>
    <w:rsid w:val="008B5144"/>
    <w:rsid w:val="008C7255"/>
    <w:rsid w:val="008C7BCB"/>
    <w:rsid w:val="00911751"/>
    <w:rsid w:val="00926172"/>
    <w:rsid w:val="009312D8"/>
    <w:rsid w:val="009347D8"/>
    <w:rsid w:val="00965B24"/>
    <w:rsid w:val="0099558B"/>
    <w:rsid w:val="009B3837"/>
    <w:rsid w:val="009E7193"/>
    <w:rsid w:val="00A45046"/>
    <w:rsid w:val="00A94C46"/>
    <w:rsid w:val="00AC29BB"/>
    <w:rsid w:val="00AC4900"/>
    <w:rsid w:val="00B14588"/>
    <w:rsid w:val="00B879FC"/>
    <w:rsid w:val="00BE5A90"/>
    <w:rsid w:val="00BF0040"/>
    <w:rsid w:val="00BF1D42"/>
    <w:rsid w:val="00C1740A"/>
    <w:rsid w:val="00C5117C"/>
    <w:rsid w:val="00C512FD"/>
    <w:rsid w:val="00C5371D"/>
    <w:rsid w:val="00C74902"/>
    <w:rsid w:val="00C841ED"/>
    <w:rsid w:val="00CB34CC"/>
    <w:rsid w:val="00D127A1"/>
    <w:rsid w:val="00D1304C"/>
    <w:rsid w:val="00D15D75"/>
    <w:rsid w:val="00D2605C"/>
    <w:rsid w:val="00D27A56"/>
    <w:rsid w:val="00D50F53"/>
    <w:rsid w:val="00D77780"/>
    <w:rsid w:val="00DA110F"/>
    <w:rsid w:val="00DE12B1"/>
    <w:rsid w:val="00DF6AEB"/>
    <w:rsid w:val="00E1431E"/>
    <w:rsid w:val="00E1587B"/>
    <w:rsid w:val="00E20135"/>
    <w:rsid w:val="00E231DF"/>
    <w:rsid w:val="00E32235"/>
    <w:rsid w:val="00E460EE"/>
    <w:rsid w:val="00E64C4D"/>
    <w:rsid w:val="00EC13BA"/>
    <w:rsid w:val="00ED08F3"/>
    <w:rsid w:val="00EE536D"/>
    <w:rsid w:val="00EF0CCE"/>
    <w:rsid w:val="00EF3FC3"/>
    <w:rsid w:val="00F00EDF"/>
    <w:rsid w:val="00FB7CC3"/>
    <w:rsid w:val="00FD4046"/>
    <w:rsid w:val="00FE3381"/>
    <w:rsid w:val="00FE7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39A483"/>
  <w15:chartTrackingRefBased/>
  <w15:docId w15:val="{B4BAD080-DA80-4759-AE39-AFC58C1D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character" w:styleId="Hyperlink">
    <w:name w:val="Hyperlink"/>
    <w:basedOn w:val="DefaultParagraphFont"/>
    <w:uiPriority w:val="99"/>
    <w:semiHidden/>
    <w:unhideWhenUsed/>
    <w:rsid w:val="00C512FD"/>
    <w:rPr>
      <w:color w:val="0563C1"/>
      <w:u w:val="single"/>
    </w:rPr>
  </w:style>
  <w:style w:type="paragraph" w:customStyle="1" w:styleId="psection-1">
    <w:name w:val="psection-1"/>
    <w:basedOn w:val="Normal"/>
    <w:rsid w:val="00C512FD"/>
    <w:pPr>
      <w:widowControl/>
      <w:spacing w:before="100" w:beforeAutospacing="1" w:after="100" w:afterAutospacing="1"/>
    </w:pPr>
    <w:rPr>
      <w:rFonts w:ascii="Times New Roman" w:eastAsiaTheme="minorHAnsi" w:hAnsi="Times New Roman"/>
      <w:snapToGrid/>
      <w:szCs w:val="24"/>
    </w:rPr>
  </w:style>
  <w:style w:type="paragraph" w:customStyle="1" w:styleId="psection-2">
    <w:name w:val="psection-2"/>
    <w:basedOn w:val="Normal"/>
    <w:rsid w:val="00C512FD"/>
    <w:pPr>
      <w:widowControl/>
      <w:spacing w:before="100" w:beforeAutospacing="1" w:after="100" w:afterAutospacing="1"/>
    </w:pPr>
    <w:rPr>
      <w:rFonts w:ascii="Times New Roman" w:eastAsiaTheme="minorHAnsi" w:hAnsi="Times New Roman"/>
      <w:snapToGrid/>
      <w:szCs w:val="24"/>
    </w:rPr>
  </w:style>
  <w:style w:type="character" w:customStyle="1" w:styleId="enumxml">
    <w:name w:val="enumxml"/>
    <w:basedOn w:val="DefaultParagraphFont"/>
    <w:rsid w:val="00C512FD"/>
    <w:rPr>
      <w:rFonts w:ascii="Times New Roman" w:hAnsi="Times New Roman" w:cs="Times New Roman" w:hint="default"/>
    </w:rPr>
  </w:style>
  <w:style w:type="character" w:customStyle="1" w:styleId="et03">
    <w:name w:val="et03"/>
    <w:basedOn w:val="DefaultParagraphFont"/>
    <w:rsid w:val="00C512FD"/>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18"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17" Type="http://schemas.openxmlformats.org/officeDocument/2006/relationships/hyperlink" Target="https://www.law.cornell.edu/definitions/index.php?width=840&amp;height=800&amp;iframe=true&amp;def_id=2095af3d2644c5f6854561b880c52969&amp;term_occur=999&amp;term_src=Title:20:Chapter:V:Part:625:625.5"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law.cornell.edu/definitions/index.php?width=840&amp;height=800&amp;iframe=true&amp;def_id=95f1ef42847b6e406cad25b8f1f66177&amp;term_occur=999&amp;term_src=Title:20:Chapter:V:Part:625:625.5" TargetMode="External"/><Relationship Id="rId20" Type="http://schemas.openxmlformats.org/officeDocument/2006/relationships/hyperlink" Target="https://www.law.cornell.edu/definitions/index.php?width=840&amp;height=800&amp;iframe=true&amp;def_id=667759d9b94d630ff8d099d7fd7d76b5&amp;term_occur=999&amp;term_src=Title:20:Chapter:V:Part:625:625.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aw.cornell.edu/definitions/index.php?width=840&amp;height=800&amp;iframe=true&amp;def_id=f5fa1bd336151038ef33802286d066eb&amp;term_occur=999&amp;term_src=Title:20:Chapter:V:Part:625:625.5"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law.cornell.edu/definitions/index.php?width=840&amp;height=800&amp;iframe=true&amp;def_id=b3d72d28b6503871d0d0ea61efe37614&amp;term_occur=999&amp;term_src=Title:20:Chapter:V:Part:625:625.5" TargetMode="External"/><Relationship Id="rId19" Type="http://schemas.openxmlformats.org/officeDocument/2006/relationships/hyperlink" Target="https://www.law.cornell.edu/definitions/index.php?width=840&amp;height=800&amp;iframe=true&amp;def_id=2c12dc9894d26f5e200be47e40f6af03&amp;term_occur=999&amp;term_src=Title:20:Chapter:V:Part:625:625.5" TargetMode="External"/><Relationship Id="rId4" Type="http://schemas.openxmlformats.org/officeDocument/2006/relationships/settings" Target="settings.xml"/><Relationship Id="rId9" Type="http://schemas.openxmlformats.org/officeDocument/2006/relationships/hyperlink" Target="https://www.law.cornell.edu/definitions/index.php?width=840&amp;height=800&amp;iframe=true&amp;def_id=95f1ef42847b6e406cad25b8f1f66177&amp;term_occur=999&amp;term_src=Title:20:Chapter:V:Part:625:625.5" TargetMode="External"/><Relationship Id="rId14" Type="http://schemas.openxmlformats.org/officeDocument/2006/relationships/hyperlink" Target="https://www.law.cornell.edu/definitions/index.php?width=840&amp;height=800&amp;iframe=true&amp;def_id=667759d9b94d630ff8d099d7fd7d76b5&amp;term_occur=999&amp;term_src=Title:20:Chapter:V:Part:625:625.5"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Tom's%20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40965-00B0-4EEA-84A3-BDCBF2E0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8-26.dot</Template>
  <TotalTime>26</TotalTime>
  <Pages>1</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8</cp:revision>
  <cp:lastPrinted>1900-01-01T09:00:00Z</cp:lastPrinted>
  <dcterms:created xsi:type="dcterms:W3CDTF">2020-12-08T18:06:00Z</dcterms:created>
  <dcterms:modified xsi:type="dcterms:W3CDTF">2020-12-16T00:39:00Z</dcterms:modified>
</cp:coreProperties>
</file>