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-786765</wp:posOffset>
            </wp:positionH>
            <wp:positionV relativeFrom="paragraph">
              <wp:posOffset>-458470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F931A3">
        <w:rPr>
          <w:rFonts w:ascii="Bookman Old Style" w:hAnsi="Bookman Old Style"/>
        </w:rPr>
        <w:t>P20 212</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F931A3">
        <w:rPr>
          <w:rFonts w:ascii="Bookman Old Style" w:hAnsi="Bookman Old Style"/>
        </w:rPr>
        <w:t>February 22,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F931A3" w:rsidRDefault="00F931A3"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BRIAN MONTOYA</w:t>
      </w:r>
    </w:p>
    <w:p w:rsidR="00070AE8" w:rsidRDefault="00070AE8"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Default="00F931A3"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Brian Montoya</w:t>
      </w:r>
      <w:r w:rsidR="00395ECA">
        <w:rPr>
          <w:rFonts w:ascii="Bookman Old Style" w:hAnsi="Bookman Old Style"/>
        </w:rPr>
        <w:t xml:space="preserve">                                               </w:t>
      </w:r>
      <w:r>
        <w:rPr>
          <w:rFonts w:ascii="Bookman Old Style" w:hAnsi="Bookman Old Style"/>
        </w:rPr>
        <w:t>None</w:t>
      </w:r>
    </w:p>
    <w:p w:rsidR="00F931A3" w:rsidRPr="00774034" w:rsidRDefault="00F931A3"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Marcus Fuller</w:t>
      </w: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F931A3">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F931A3">
        <w:rPr>
          <w:rFonts w:ascii="Bookman Old Style" w:hAnsi="Bookman Old Style"/>
          <w:snapToGrid/>
          <w:szCs w:val="24"/>
        </w:rPr>
        <w:t>September 17, 2020</w:t>
      </w:r>
      <w:r w:rsidRPr="00C035D6">
        <w:rPr>
          <w:rFonts w:ascii="Bookman Old Style" w:hAnsi="Bookman Old Style"/>
          <w:snapToGrid/>
          <w:szCs w:val="24"/>
        </w:rPr>
        <w:t xml:space="preserve"> determination which </w:t>
      </w:r>
      <w:r w:rsidR="00F931A3">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601DCC" w:rsidRDefault="00601DCC" w:rsidP="00601DCC">
      <w:pPr>
        <w:widowControl/>
        <w:rPr>
          <w:rFonts w:ascii="Bookman Old Style" w:hAnsi="Bookman Old Style"/>
          <w:snapToGrid/>
          <w:szCs w:val="24"/>
        </w:rPr>
      </w:pP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F931A3" w:rsidP="00E64C4D">
      <w:pPr>
        <w:tabs>
          <w:tab w:val="left" w:pos="-1440"/>
          <w:tab w:val="left" w:pos="-720"/>
        </w:tabs>
        <w:rPr>
          <w:rFonts w:ascii="Bookman Old Style" w:hAnsi="Bookman Old Style"/>
        </w:rPr>
      </w:pPr>
      <w:r>
        <w:rPr>
          <w:rFonts w:ascii="Bookman Old Style" w:hAnsi="Bookman Old Style"/>
        </w:rPr>
        <w:t xml:space="preserve">The claimant worked as crew member on a fishing vessel in 2019. He was scheduled to begin work on the same vessel in May 2020 in the same capacity. This required the claimant to fly from Kodiak to Anchorage to Valdez to begin work. </w:t>
      </w:r>
    </w:p>
    <w:p w:rsidR="00F931A3" w:rsidRDefault="00F931A3" w:rsidP="00E64C4D">
      <w:pPr>
        <w:tabs>
          <w:tab w:val="left" w:pos="-1440"/>
          <w:tab w:val="left" w:pos="-720"/>
        </w:tabs>
        <w:rPr>
          <w:rFonts w:ascii="Bookman Old Style" w:hAnsi="Bookman Old Style"/>
        </w:rPr>
      </w:pPr>
    </w:p>
    <w:p w:rsidR="00F931A3" w:rsidRDefault="00F931A3" w:rsidP="00E64C4D">
      <w:pPr>
        <w:tabs>
          <w:tab w:val="left" w:pos="-1440"/>
          <w:tab w:val="left" w:pos="-720"/>
        </w:tabs>
        <w:rPr>
          <w:rFonts w:ascii="Bookman Old Style" w:hAnsi="Bookman Old Style"/>
        </w:rPr>
      </w:pPr>
      <w:r>
        <w:rPr>
          <w:rFonts w:ascii="Bookman Old Style" w:hAnsi="Bookman Old Style"/>
        </w:rPr>
        <w:t>The pandemic caused the governments of the state and cities to impose travel mandates to restrict the spread of the illness. The resulting mandates required 14 day quarantines between cities.</w:t>
      </w:r>
      <w:r w:rsidR="00D26ECC">
        <w:rPr>
          <w:rFonts w:ascii="Bookman Old Style" w:hAnsi="Bookman Old Style"/>
        </w:rPr>
        <w:t xml:space="preserve"> Anchorage was an exception to this quarantine if time was allotted between flights to receive test results available at the airport in Anchorage.</w:t>
      </w:r>
    </w:p>
    <w:p w:rsidR="00703894" w:rsidRDefault="00703894" w:rsidP="00E64C4D">
      <w:pPr>
        <w:tabs>
          <w:tab w:val="left" w:pos="-1440"/>
          <w:tab w:val="left" w:pos="-720"/>
        </w:tabs>
        <w:rPr>
          <w:rFonts w:ascii="Bookman Old Style" w:hAnsi="Bookman Old Style"/>
        </w:rPr>
      </w:pPr>
    </w:p>
    <w:p w:rsidR="00703894" w:rsidRDefault="00703894" w:rsidP="00E64C4D">
      <w:pPr>
        <w:tabs>
          <w:tab w:val="left" w:pos="-1440"/>
          <w:tab w:val="left" w:pos="-720"/>
        </w:tabs>
        <w:rPr>
          <w:rFonts w:ascii="Bookman Old Style" w:hAnsi="Bookman Old Style"/>
        </w:rPr>
      </w:pPr>
      <w:r>
        <w:rPr>
          <w:rFonts w:ascii="Bookman Old Style" w:hAnsi="Bookman Old Style"/>
        </w:rPr>
        <w:t xml:space="preserve">The airline that served Valdez shut down operations over the entire state due to reasons other than COVID-19. The claimant could get to Anchorage but there </w:t>
      </w:r>
      <w:r>
        <w:rPr>
          <w:rFonts w:ascii="Bookman Old Style" w:hAnsi="Bookman Old Style"/>
        </w:rPr>
        <w:lastRenderedPageBreak/>
        <w:t xml:space="preserve">were no commercial flights to Valdez. The captain of the vessel had to hire other crew members. </w:t>
      </w:r>
    </w:p>
    <w:p w:rsidR="00703894" w:rsidRDefault="00703894" w:rsidP="00E64C4D">
      <w:pPr>
        <w:tabs>
          <w:tab w:val="left" w:pos="-1440"/>
          <w:tab w:val="left" w:pos="-720"/>
        </w:tabs>
        <w:rPr>
          <w:rFonts w:ascii="Bookman Old Style" w:hAnsi="Bookman Old Style"/>
        </w:rPr>
      </w:pPr>
    </w:p>
    <w:p w:rsidR="00703894" w:rsidRDefault="00703894" w:rsidP="00E64C4D">
      <w:pPr>
        <w:tabs>
          <w:tab w:val="left" w:pos="-1440"/>
          <w:tab w:val="left" w:pos="-720"/>
        </w:tabs>
        <w:rPr>
          <w:rFonts w:ascii="Bookman Old Style" w:hAnsi="Bookman Old Style"/>
        </w:rPr>
      </w:pPr>
      <w:r>
        <w:rPr>
          <w:rFonts w:ascii="Bookman Old Style" w:hAnsi="Bookman Old Style"/>
        </w:rPr>
        <w:t>The claimant located some work in Kodiak during July. The price dropped in September so that the captains and owners could not afford to fish as the income would barely cover expenses.</w:t>
      </w:r>
    </w:p>
    <w:p w:rsidR="00601DCC" w:rsidRPr="00774034" w:rsidRDefault="00601DCC"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763357" w:rsidRDefault="00483DDE" w:rsidP="00763357">
      <w:pPr>
        <w:pStyle w:val="ListParagraph"/>
        <w:numPr>
          <w:ilvl w:val="0"/>
          <w:numId w:val="6"/>
        </w:numPr>
        <w:shd w:val="clear" w:color="auto" w:fill="FFFFFF"/>
        <w:spacing w:before="100" w:beforeAutospacing="1" w:after="100" w:afterAutospacing="1"/>
        <w:rPr>
          <w:rFonts w:ascii="Bookman Old Style" w:hAnsi="Bookman Old Style" w:cs="Times"/>
          <w:color w:val="333333"/>
          <w:szCs w:val="24"/>
        </w:rPr>
      </w:pPr>
      <w:r w:rsidRPr="00763357">
        <w:rPr>
          <w:rFonts w:ascii="Bookman Old Style" w:hAnsi="Bookman Old Style" w:cs="Times"/>
          <w:color w:val="333333"/>
          <w:szCs w:val="24"/>
        </w:rPr>
        <w:t>is otherwise able to work and available for work within the meaning of applicable State law, except the individual is unemployed, partially unemployed, or unable or unavailable to work because—</w:t>
      </w:r>
    </w:p>
    <w:p w:rsidR="00763357" w:rsidRPr="00763357" w:rsidRDefault="00763357" w:rsidP="00763357">
      <w:pPr>
        <w:pStyle w:val="ListParagraph"/>
        <w:shd w:val="clear" w:color="auto" w:fill="FFFFFF"/>
        <w:spacing w:before="100" w:beforeAutospacing="1" w:after="100" w:afterAutospacing="1"/>
        <w:ind w:left="1200"/>
        <w:rPr>
          <w:rFonts w:ascii="Bookman Old Style" w:hAnsi="Bookman Old Style" w:cs="Times"/>
          <w:color w:val="333333"/>
          <w:szCs w:val="24"/>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Default="00926172" w:rsidP="00601DCC">
      <w:pPr>
        <w:shd w:val="clear" w:color="auto" w:fill="FFFFFF"/>
        <w:rPr>
          <w:rFonts w:ascii="Bookman Old Style" w:hAnsi="Bookman Old Style"/>
          <w:bCs/>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6322AC" w:rsidRDefault="006322AC" w:rsidP="006322AC">
      <w:pPr>
        <w:pStyle w:val="psection-1"/>
        <w:spacing w:before="150" w:beforeAutospacing="0" w:after="150" w:afterAutospacing="0"/>
        <w:rPr>
          <w:rFonts w:ascii="Bookman Old Style" w:hAnsi="Bookman Old Style"/>
        </w:rPr>
      </w:pPr>
      <w:r>
        <w:rPr>
          <w:rStyle w:val="enumxml"/>
          <w:rFonts w:ascii="Bookman Old Style" w:hAnsi="Bookman Old Style"/>
        </w:rPr>
        <w:t>The U.S. Department of Labor’s</w:t>
      </w:r>
      <w:r>
        <w:rPr>
          <w:rStyle w:val="enumxml"/>
          <w:rFonts w:ascii="Bookman Old Style" w:hAnsi="Bookman Old Style"/>
          <w:u w:val="single"/>
        </w:rPr>
        <w:t xml:space="preserve"> Unemployment Insurance Program Letter 1620, Attachment 1</w:t>
      </w:r>
      <w:r>
        <w:rPr>
          <w:rStyle w:val="enumxml"/>
          <w:rFonts w:ascii="Bookman Old Style" w:hAnsi="Bookman Old Style"/>
        </w:rPr>
        <w:t xml:space="preserve">, issued April 5, 2020 provides operating instructions for states administering the federal Pandemic Unemployment Assistance program. States are advised that a determination about whether actions are a “direct result” of the COVID-19 pandemic should be made based on 20 C.F.R. 625.5(c), which is a federal regulation for the administration of the federal Disaster Unemployment Assistance program. The regulation reads: </w:t>
      </w:r>
      <w:r>
        <w:rPr>
          <w:rFonts w:ascii="Bookman Old Style" w:hAnsi="Bookman Old Style"/>
        </w:rPr>
        <w:t> </w:t>
      </w:r>
    </w:p>
    <w:p w:rsidR="006322AC" w:rsidRPr="006322AC" w:rsidRDefault="006322AC" w:rsidP="006322AC">
      <w:pPr>
        <w:pStyle w:val="psection-1"/>
        <w:spacing w:before="150" w:beforeAutospacing="0" w:after="150" w:afterAutospacing="0"/>
        <w:ind w:left="810"/>
        <w:rPr>
          <w:rFonts w:ascii="Bookman Old Style" w:hAnsi="Bookman Old Style"/>
          <w:i/>
          <w:iCs/>
        </w:rPr>
      </w:pPr>
      <w:r>
        <w:rPr>
          <w:rStyle w:val="et03"/>
          <w:rFonts w:ascii="Bookman Old Style" w:hAnsi="Bookman Old Style"/>
          <w:b/>
          <w:bCs/>
          <w:i/>
          <w:iCs/>
        </w:rPr>
        <w:t>Unemployment is a direct result of the major disaster</w:t>
      </w:r>
      <w:r w:rsidRPr="006322AC">
        <w:rPr>
          <w:rStyle w:val="et03"/>
          <w:rFonts w:ascii="Bookman Old Style" w:hAnsi="Bookman Old Style"/>
          <w:b/>
          <w:bCs/>
          <w:i/>
          <w:iCs/>
        </w:rPr>
        <w:t>.</w:t>
      </w:r>
      <w:r w:rsidRPr="006322AC">
        <w:rPr>
          <w:rFonts w:ascii="Bookman Old Style" w:hAnsi="Bookman Old Style"/>
          <w:i/>
          <w:iCs/>
        </w:rPr>
        <w:t xml:space="preserve"> For the purposes of paragraphs (a)(1) and (b)(1) of this section, a worker's or </w:t>
      </w:r>
      <w:hyperlink r:id="rId9" w:history="1">
        <w:r w:rsidRPr="006322AC">
          <w:rPr>
            <w:rStyle w:val="Hyperlink"/>
            <w:rFonts w:ascii="Bookman Old Style" w:hAnsi="Bookman Old Style"/>
            <w:i/>
            <w:iCs/>
            <w:color w:val="auto"/>
          </w:rPr>
          <w:t>self-employed individual</w:t>
        </w:r>
      </w:hyperlink>
      <w:r w:rsidRPr="006322AC">
        <w:rPr>
          <w:rFonts w:ascii="Bookman Old Style" w:hAnsi="Bookman Old Style"/>
          <w:i/>
          <w:iCs/>
        </w:rPr>
        <w:t xml:space="preserve">'s unemployment is a direct result of the </w:t>
      </w:r>
      <w:hyperlink r:id="rId10" w:history="1">
        <w:r w:rsidRPr="006322AC">
          <w:rPr>
            <w:rStyle w:val="Hyperlink"/>
            <w:rFonts w:ascii="Bookman Old Style" w:hAnsi="Bookman Old Style"/>
            <w:i/>
            <w:iCs/>
            <w:color w:val="auto"/>
          </w:rPr>
          <w:t>major disaster</w:t>
        </w:r>
      </w:hyperlink>
      <w:r w:rsidRPr="006322AC">
        <w:rPr>
          <w:rFonts w:ascii="Bookman Old Style" w:hAnsi="Bookman Old Style"/>
          <w:i/>
          <w:iCs/>
        </w:rPr>
        <w:t xml:space="preserve"> where the unemployment is an immediate result of the </w:t>
      </w:r>
      <w:hyperlink r:id="rId11" w:history="1">
        <w:r w:rsidRPr="006322AC">
          <w:rPr>
            <w:rStyle w:val="Hyperlink"/>
            <w:rFonts w:ascii="Bookman Old Style" w:hAnsi="Bookman Old Style"/>
            <w:i/>
            <w:iCs/>
            <w:color w:val="auto"/>
          </w:rPr>
          <w:t>major disaster</w:t>
        </w:r>
      </w:hyperlink>
      <w:r w:rsidRPr="006322AC">
        <w:rPr>
          <w:rFonts w:ascii="Bookman Old Style" w:hAnsi="Bookman Old Style"/>
          <w:i/>
          <w:iCs/>
        </w:rPr>
        <w:t xml:space="preserve"> itself, and not the result of a longer chain of events precipitated or exacerbated by the disaster. Such an individual's unemployment is a direct result of the </w:t>
      </w:r>
      <w:hyperlink r:id="rId12" w:history="1">
        <w:r w:rsidRPr="006322AC">
          <w:rPr>
            <w:rStyle w:val="Hyperlink"/>
            <w:rFonts w:ascii="Bookman Old Style" w:hAnsi="Bookman Old Style"/>
            <w:i/>
            <w:iCs/>
            <w:color w:val="auto"/>
          </w:rPr>
          <w:t>major disaster</w:t>
        </w:r>
      </w:hyperlink>
      <w:r w:rsidRPr="006322AC">
        <w:rPr>
          <w:rFonts w:ascii="Bookman Old Style" w:hAnsi="Bookman Old Style"/>
          <w:i/>
          <w:iCs/>
        </w:rPr>
        <w:t xml:space="preserve"> if the unemployment resulted from: </w:t>
      </w:r>
    </w:p>
    <w:p w:rsidR="006322AC" w:rsidRPr="006322AC" w:rsidRDefault="006322AC" w:rsidP="006322AC">
      <w:pPr>
        <w:pStyle w:val="psection-2"/>
        <w:spacing w:before="0" w:beforeAutospacing="0" w:after="150" w:afterAutospacing="0"/>
        <w:ind w:left="1350"/>
        <w:rPr>
          <w:rFonts w:ascii="Bookman Old Style" w:hAnsi="Bookman Old Style"/>
          <w:i/>
          <w:iCs/>
        </w:rPr>
      </w:pPr>
      <w:r w:rsidRPr="006322AC">
        <w:rPr>
          <w:rStyle w:val="enumxml"/>
          <w:rFonts w:ascii="Bookman Old Style" w:hAnsi="Bookman Old Style"/>
          <w:i/>
          <w:iCs/>
        </w:rPr>
        <w:t>(1)</w:t>
      </w:r>
      <w:r w:rsidRPr="006322AC">
        <w:rPr>
          <w:rFonts w:ascii="Bookman Old Style" w:hAnsi="Bookman Old Style"/>
          <w:i/>
          <w:iCs/>
        </w:rPr>
        <w:t xml:space="preserve"> The physical damage or destruction of the place of employment; </w:t>
      </w:r>
    </w:p>
    <w:p w:rsidR="006322AC" w:rsidRPr="006322AC" w:rsidRDefault="006322AC" w:rsidP="006322AC">
      <w:pPr>
        <w:pStyle w:val="psection-2"/>
        <w:spacing w:before="0" w:beforeAutospacing="0" w:after="150" w:afterAutospacing="0"/>
        <w:ind w:left="1350"/>
        <w:rPr>
          <w:rFonts w:ascii="Bookman Old Style" w:hAnsi="Bookman Old Style"/>
          <w:i/>
          <w:iCs/>
        </w:rPr>
      </w:pPr>
      <w:r w:rsidRPr="006322AC">
        <w:rPr>
          <w:rStyle w:val="enumxml"/>
          <w:rFonts w:ascii="Bookman Old Style" w:hAnsi="Bookman Old Style"/>
          <w:i/>
          <w:iCs/>
        </w:rPr>
        <w:t>(2)</w:t>
      </w:r>
      <w:r w:rsidRPr="006322AC">
        <w:rPr>
          <w:rFonts w:ascii="Bookman Old Style" w:hAnsi="Bookman Old Style"/>
          <w:i/>
          <w:iCs/>
        </w:rPr>
        <w:t xml:space="preserve"> The physical inaccessibility of the place of employment in the </w:t>
      </w:r>
      <w:hyperlink r:id="rId13" w:history="1">
        <w:r w:rsidRPr="006322AC">
          <w:rPr>
            <w:rStyle w:val="Hyperlink"/>
            <w:rFonts w:ascii="Bookman Old Style" w:hAnsi="Bookman Old Style"/>
            <w:i/>
            <w:iCs/>
            <w:color w:val="auto"/>
          </w:rPr>
          <w:t>major disaster area</w:t>
        </w:r>
      </w:hyperlink>
      <w:r w:rsidRPr="006322AC">
        <w:rPr>
          <w:rFonts w:ascii="Bookman Old Style" w:hAnsi="Bookman Old Style"/>
          <w:i/>
          <w:iCs/>
        </w:rPr>
        <w:t xml:space="preserve"> due to its closure by or at the request of the federal, </w:t>
      </w:r>
      <w:hyperlink r:id="rId14" w:history="1">
        <w:r w:rsidRPr="006322AC">
          <w:rPr>
            <w:rStyle w:val="Hyperlink"/>
            <w:rFonts w:ascii="Bookman Old Style" w:hAnsi="Bookman Old Style"/>
            <w:i/>
            <w:iCs/>
            <w:color w:val="auto"/>
          </w:rPr>
          <w:t>state</w:t>
        </w:r>
      </w:hyperlink>
      <w:r w:rsidRPr="006322AC">
        <w:rPr>
          <w:rFonts w:ascii="Bookman Old Style" w:hAnsi="Bookman Old Style"/>
          <w:i/>
          <w:iCs/>
        </w:rPr>
        <w:t xml:space="preserve"> or local government, in immediate response to the disaster; or </w:t>
      </w:r>
    </w:p>
    <w:p w:rsidR="006322AC" w:rsidRDefault="006322AC" w:rsidP="006322AC">
      <w:pPr>
        <w:pStyle w:val="psection-2"/>
        <w:spacing w:before="0" w:beforeAutospacing="0" w:after="150" w:afterAutospacing="0"/>
        <w:ind w:left="1350"/>
        <w:rPr>
          <w:rFonts w:ascii="Bookman Old Style" w:hAnsi="Bookman Old Style"/>
          <w:i/>
          <w:iCs/>
        </w:rPr>
      </w:pPr>
      <w:r w:rsidRPr="006322AC">
        <w:rPr>
          <w:rStyle w:val="enumxml"/>
          <w:rFonts w:ascii="Bookman Old Style" w:hAnsi="Bookman Old Style"/>
          <w:i/>
          <w:iCs/>
        </w:rPr>
        <w:lastRenderedPageBreak/>
        <w:t>(3)</w:t>
      </w:r>
      <w:r w:rsidRPr="006322AC">
        <w:rPr>
          <w:rFonts w:ascii="Bookman Old Style" w:hAnsi="Bookman Old Style"/>
          <w:i/>
          <w:iCs/>
        </w:rPr>
        <w:t xml:space="preserve"> Lack of work, or loss of revenues, provided that, prior to the disaster, the </w:t>
      </w:r>
      <w:hyperlink r:id="rId15" w:history="1">
        <w:r w:rsidRPr="006322AC">
          <w:rPr>
            <w:rStyle w:val="Hyperlink"/>
            <w:rFonts w:ascii="Bookman Old Style" w:hAnsi="Bookman Old Style"/>
            <w:i/>
            <w:iCs/>
            <w:color w:val="auto"/>
          </w:rPr>
          <w:t>employer</w:t>
        </w:r>
      </w:hyperlink>
      <w:r w:rsidRPr="006322AC">
        <w:rPr>
          <w:rFonts w:ascii="Bookman Old Style" w:hAnsi="Bookman Old Style"/>
          <w:i/>
          <w:iCs/>
        </w:rPr>
        <w:t xml:space="preserve">, or the business in the case of a </w:t>
      </w:r>
      <w:hyperlink r:id="rId16" w:history="1">
        <w:r w:rsidRPr="006322AC">
          <w:rPr>
            <w:rStyle w:val="Hyperlink"/>
            <w:rFonts w:ascii="Bookman Old Style" w:hAnsi="Bookman Old Style"/>
            <w:i/>
            <w:iCs/>
            <w:color w:val="auto"/>
          </w:rPr>
          <w:t>self-employed individual</w:t>
        </w:r>
      </w:hyperlink>
      <w:r w:rsidRPr="006322AC">
        <w:rPr>
          <w:rFonts w:ascii="Bookman Old Style" w:hAnsi="Bookman Old Style"/>
          <w:i/>
          <w:iCs/>
        </w:rPr>
        <w:t xml:space="preserve">, received at least a majority of its revenue or </w:t>
      </w:r>
      <w:hyperlink r:id="rId17" w:history="1">
        <w:r w:rsidRPr="006322AC">
          <w:rPr>
            <w:rStyle w:val="Hyperlink"/>
            <w:rFonts w:ascii="Bookman Old Style" w:hAnsi="Bookman Old Style"/>
            <w:i/>
            <w:iCs/>
            <w:color w:val="auto"/>
          </w:rPr>
          <w:t>income</w:t>
        </w:r>
      </w:hyperlink>
      <w:r w:rsidRPr="006322AC">
        <w:rPr>
          <w:rFonts w:ascii="Bookman Old Style" w:hAnsi="Bookman Old Style"/>
          <w:i/>
          <w:iCs/>
        </w:rPr>
        <w:t xml:space="preserve"> from an entity in the </w:t>
      </w:r>
      <w:hyperlink r:id="rId18" w:history="1">
        <w:r w:rsidRPr="006322AC">
          <w:rPr>
            <w:rStyle w:val="Hyperlink"/>
            <w:rFonts w:ascii="Bookman Old Style" w:hAnsi="Bookman Old Style"/>
            <w:i/>
            <w:iCs/>
            <w:color w:val="auto"/>
          </w:rPr>
          <w:t>major disaster area</w:t>
        </w:r>
      </w:hyperlink>
      <w:r w:rsidRPr="006322AC">
        <w:rPr>
          <w:rFonts w:ascii="Bookman Old Style" w:hAnsi="Bookman Old Style"/>
          <w:i/>
          <w:iCs/>
        </w:rPr>
        <w:t xml:space="preserve"> that was either damaged or destroyed in the disaster, or an entity in the </w:t>
      </w:r>
      <w:hyperlink r:id="rId19" w:history="1">
        <w:r w:rsidRPr="006322AC">
          <w:rPr>
            <w:rStyle w:val="Hyperlink"/>
            <w:rFonts w:ascii="Bookman Old Style" w:hAnsi="Bookman Old Style"/>
            <w:i/>
            <w:iCs/>
            <w:color w:val="auto"/>
          </w:rPr>
          <w:t>major disaster area</w:t>
        </w:r>
      </w:hyperlink>
      <w:r w:rsidRPr="006322AC">
        <w:rPr>
          <w:rFonts w:ascii="Bookman Old Style" w:hAnsi="Bookman Old Style"/>
          <w:i/>
          <w:iCs/>
        </w:rPr>
        <w:t xml:space="preserve"> closed by the federal, </w:t>
      </w:r>
      <w:hyperlink r:id="rId20" w:history="1">
        <w:r w:rsidRPr="006322AC">
          <w:rPr>
            <w:rStyle w:val="Hyperlink"/>
            <w:rFonts w:ascii="Bookman Old Style" w:hAnsi="Bookman Old Style"/>
            <w:i/>
            <w:iCs/>
            <w:color w:val="auto"/>
          </w:rPr>
          <w:t>state</w:t>
        </w:r>
      </w:hyperlink>
      <w:r w:rsidRPr="006322AC">
        <w:rPr>
          <w:rFonts w:ascii="Bookman Old Style" w:hAnsi="Bookman Old Style"/>
          <w:i/>
          <w:iCs/>
        </w:rPr>
        <w:t xml:space="preserve"> or local government in immediate </w:t>
      </w:r>
      <w:r>
        <w:rPr>
          <w:rFonts w:ascii="Bookman Old Style" w:hAnsi="Bookman Old Style"/>
          <w:i/>
          <w:iCs/>
        </w:rPr>
        <w:t xml:space="preserve">response to the disaster. </w:t>
      </w:r>
    </w:p>
    <w:p w:rsidR="0016206D" w:rsidRDefault="006322AC">
      <w:pPr>
        <w:tabs>
          <w:tab w:val="left" w:pos="-1440"/>
          <w:tab w:val="left" w:pos="-720"/>
        </w:tabs>
        <w:suppressAutoHyphens/>
        <w:ind w:right="-360"/>
        <w:rPr>
          <w:rFonts w:ascii="Bookman Old Style" w:hAnsi="Bookman Old Style"/>
        </w:rPr>
      </w:pPr>
      <w:r>
        <w:rPr>
          <w:rFonts w:ascii="Bookman Old Style" w:hAnsi="Bookman Old Style"/>
        </w:rPr>
        <w:t>The claimant was not able to reach the location of his job because an airline closed down its operation for reasons other than COVID-19. He was not directly impacted by COVID-19 but his ability to get to work was exacerbate by the pandemic. This is not one of the criteria set in Public Law 116-136.</w:t>
      </w:r>
    </w:p>
    <w:p w:rsidR="006322AC" w:rsidRDefault="006322AC">
      <w:pPr>
        <w:tabs>
          <w:tab w:val="left" w:pos="-1440"/>
          <w:tab w:val="left" w:pos="-720"/>
        </w:tabs>
        <w:suppressAutoHyphens/>
        <w:ind w:right="-360"/>
        <w:rPr>
          <w:rFonts w:ascii="Bookman Old Style" w:hAnsi="Bookman Old Style"/>
        </w:rPr>
      </w:pPr>
    </w:p>
    <w:p w:rsidR="006322AC" w:rsidRDefault="006322AC">
      <w:pPr>
        <w:tabs>
          <w:tab w:val="left" w:pos="-1440"/>
          <w:tab w:val="left" w:pos="-720"/>
        </w:tabs>
        <w:suppressAutoHyphens/>
        <w:ind w:right="-360"/>
        <w:rPr>
          <w:rFonts w:ascii="Bookman Old Style" w:hAnsi="Bookman Old Style"/>
        </w:rPr>
      </w:pPr>
      <w:r>
        <w:rPr>
          <w:rFonts w:ascii="Bookman Old Style" w:hAnsi="Bookman Old Style"/>
        </w:rPr>
        <w:t>Therefore, the claimant cannot be held to be a covered individual for PUA.</w:t>
      </w:r>
    </w:p>
    <w:p w:rsidR="006322AC" w:rsidRPr="00E1431E" w:rsidRDefault="006322AC">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6322AC">
        <w:rPr>
          <w:rFonts w:ascii="Bookman Old Style" w:hAnsi="Bookman Old Style"/>
          <w:snapToGrid/>
          <w:szCs w:val="24"/>
        </w:rPr>
        <w:t>September 17, 2020</w:t>
      </w:r>
      <w:r w:rsidRPr="003F54EA">
        <w:rPr>
          <w:rFonts w:ascii="Bookman Old Style" w:hAnsi="Bookman Old Style"/>
          <w:snapToGrid/>
          <w:szCs w:val="24"/>
        </w:rPr>
        <w:t xml:space="preserve"> is </w:t>
      </w:r>
      <w:r w:rsidR="006322AC">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6322AC">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6322AC">
        <w:rPr>
          <w:rFonts w:ascii="Bookman Old Style" w:hAnsi="Bookman Old Style"/>
          <w:szCs w:val="24"/>
        </w:rPr>
        <w:t>February 24,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DF8" w:rsidRDefault="003D6DF8">
      <w:pPr>
        <w:widowControl/>
        <w:spacing w:line="20" w:lineRule="exact"/>
      </w:pPr>
    </w:p>
  </w:endnote>
  <w:endnote w:type="continuationSeparator" w:id="0">
    <w:p w:rsidR="003D6DF8" w:rsidRDefault="003D6DF8">
      <w:r>
        <w:t xml:space="preserve"> </w:t>
      </w:r>
    </w:p>
  </w:endnote>
  <w:endnote w:type="continuationNotice" w:id="1">
    <w:p w:rsidR="003D6DF8" w:rsidRDefault="003D6D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94" w:rsidRDefault="00703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94" w:rsidRDefault="00703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94" w:rsidRDefault="0070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DF8" w:rsidRDefault="003D6DF8">
      <w:r>
        <w:separator/>
      </w:r>
    </w:p>
  </w:footnote>
  <w:footnote w:type="continuationSeparator" w:id="0">
    <w:p w:rsidR="003D6DF8" w:rsidRDefault="003D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94" w:rsidRDefault="0070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703894">
      <w:rPr>
        <w:rFonts w:ascii="Bookman Old Style" w:hAnsi="Bookman Old Style"/>
        <w:sz w:val="22"/>
      </w:rPr>
      <w:t>P20 212</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070AE8">
      <w:rPr>
        <w:rStyle w:val="PageNumber"/>
        <w:rFonts w:ascii="Bookman Old Style" w:hAnsi="Bookman Old Style"/>
        <w:noProof/>
        <w:sz w:val="22"/>
      </w:rPr>
      <w:t>5</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94" w:rsidRDefault="0070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205227"/>
    <w:multiLevelType w:val="hybridMultilevel"/>
    <w:tmpl w:val="3830E0A4"/>
    <w:lvl w:ilvl="0" w:tplc="9A0AF298">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340B8"/>
    <w:rsid w:val="00070AE8"/>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9387F"/>
    <w:rsid w:val="002C3038"/>
    <w:rsid w:val="00301A4C"/>
    <w:rsid w:val="00307513"/>
    <w:rsid w:val="0030752B"/>
    <w:rsid w:val="00314A4A"/>
    <w:rsid w:val="003340A2"/>
    <w:rsid w:val="00335286"/>
    <w:rsid w:val="0034160B"/>
    <w:rsid w:val="00360CCE"/>
    <w:rsid w:val="0037410D"/>
    <w:rsid w:val="00395ECA"/>
    <w:rsid w:val="003A08AE"/>
    <w:rsid w:val="003A0E29"/>
    <w:rsid w:val="003C3EA6"/>
    <w:rsid w:val="003D6DF8"/>
    <w:rsid w:val="003E333B"/>
    <w:rsid w:val="003F54EA"/>
    <w:rsid w:val="004134B5"/>
    <w:rsid w:val="00414E35"/>
    <w:rsid w:val="00440F6D"/>
    <w:rsid w:val="00454952"/>
    <w:rsid w:val="00477B3C"/>
    <w:rsid w:val="00483DDE"/>
    <w:rsid w:val="005840C2"/>
    <w:rsid w:val="005A25FF"/>
    <w:rsid w:val="005D69D2"/>
    <w:rsid w:val="005E68FF"/>
    <w:rsid w:val="00601DCC"/>
    <w:rsid w:val="006322AC"/>
    <w:rsid w:val="006B044C"/>
    <w:rsid w:val="006B6284"/>
    <w:rsid w:val="006C6858"/>
    <w:rsid w:val="006E42A3"/>
    <w:rsid w:val="006E4361"/>
    <w:rsid w:val="006E4A6A"/>
    <w:rsid w:val="006E67C4"/>
    <w:rsid w:val="006F5C64"/>
    <w:rsid w:val="00703894"/>
    <w:rsid w:val="007264A1"/>
    <w:rsid w:val="00763357"/>
    <w:rsid w:val="00781D4B"/>
    <w:rsid w:val="00803703"/>
    <w:rsid w:val="008059E8"/>
    <w:rsid w:val="00845F5C"/>
    <w:rsid w:val="0089544B"/>
    <w:rsid w:val="008B5144"/>
    <w:rsid w:val="008C7255"/>
    <w:rsid w:val="008C7BCB"/>
    <w:rsid w:val="00911751"/>
    <w:rsid w:val="00926172"/>
    <w:rsid w:val="009312D8"/>
    <w:rsid w:val="009347D8"/>
    <w:rsid w:val="00965B24"/>
    <w:rsid w:val="0099558B"/>
    <w:rsid w:val="009B3837"/>
    <w:rsid w:val="009E7193"/>
    <w:rsid w:val="00A94C46"/>
    <w:rsid w:val="00AC29BB"/>
    <w:rsid w:val="00AC4900"/>
    <w:rsid w:val="00B14588"/>
    <w:rsid w:val="00B879FC"/>
    <w:rsid w:val="00BE5A90"/>
    <w:rsid w:val="00BF0040"/>
    <w:rsid w:val="00BF1D42"/>
    <w:rsid w:val="00C1740A"/>
    <w:rsid w:val="00C5117C"/>
    <w:rsid w:val="00C5371D"/>
    <w:rsid w:val="00C74902"/>
    <w:rsid w:val="00C841ED"/>
    <w:rsid w:val="00CB34CC"/>
    <w:rsid w:val="00D127A1"/>
    <w:rsid w:val="00D1304C"/>
    <w:rsid w:val="00D2605C"/>
    <w:rsid w:val="00D26ECC"/>
    <w:rsid w:val="00D27A56"/>
    <w:rsid w:val="00D50F53"/>
    <w:rsid w:val="00D70D6C"/>
    <w:rsid w:val="00D77780"/>
    <w:rsid w:val="00DA110F"/>
    <w:rsid w:val="00DE12B1"/>
    <w:rsid w:val="00DF6AEB"/>
    <w:rsid w:val="00E1431E"/>
    <w:rsid w:val="00E1587B"/>
    <w:rsid w:val="00E20135"/>
    <w:rsid w:val="00E231DF"/>
    <w:rsid w:val="00E32235"/>
    <w:rsid w:val="00E460EE"/>
    <w:rsid w:val="00E64C4D"/>
    <w:rsid w:val="00E7096A"/>
    <w:rsid w:val="00ED08F3"/>
    <w:rsid w:val="00EE536D"/>
    <w:rsid w:val="00EF0CCE"/>
    <w:rsid w:val="00EF3FC3"/>
    <w:rsid w:val="00F00EDF"/>
    <w:rsid w:val="00F01112"/>
    <w:rsid w:val="00F931A3"/>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6E22F"/>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character" w:styleId="Hyperlink">
    <w:name w:val="Hyperlink"/>
    <w:basedOn w:val="DefaultParagraphFont"/>
    <w:uiPriority w:val="99"/>
    <w:semiHidden/>
    <w:unhideWhenUsed/>
    <w:rsid w:val="006322AC"/>
    <w:rPr>
      <w:color w:val="0563C1"/>
      <w:u w:val="single"/>
    </w:rPr>
  </w:style>
  <w:style w:type="paragraph" w:customStyle="1" w:styleId="psection-1">
    <w:name w:val="psection-1"/>
    <w:basedOn w:val="Normal"/>
    <w:rsid w:val="006322AC"/>
    <w:pPr>
      <w:widowControl/>
      <w:spacing w:before="100" w:beforeAutospacing="1" w:after="100" w:afterAutospacing="1"/>
    </w:pPr>
    <w:rPr>
      <w:rFonts w:ascii="Times New Roman" w:eastAsiaTheme="minorHAnsi" w:hAnsi="Times New Roman"/>
      <w:snapToGrid/>
      <w:szCs w:val="24"/>
    </w:rPr>
  </w:style>
  <w:style w:type="paragraph" w:customStyle="1" w:styleId="psection-2">
    <w:name w:val="psection-2"/>
    <w:basedOn w:val="Normal"/>
    <w:rsid w:val="006322AC"/>
    <w:pPr>
      <w:widowControl/>
      <w:spacing w:before="100" w:beforeAutospacing="1" w:after="100" w:afterAutospacing="1"/>
    </w:pPr>
    <w:rPr>
      <w:rFonts w:ascii="Times New Roman" w:eastAsiaTheme="minorHAnsi" w:hAnsi="Times New Roman"/>
      <w:snapToGrid/>
      <w:szCs w:val="24"/>
    </w:rPr>
  </w:style>
  <w:style w:type="character" w:customStyle="1" w:styleId="enumxml">
    <w:name w:val="enumxml"/>
    <w:basedOn w:val="DefaultParagraphFont"/>
    <w:rsid w:val="006322AC"/>
    <w:rPr>
      <w:rFonts w:ascii="Times New Roman" w:hAnsi="Times New Roman" w:cs="Times New Roman" w:hint="default"/>
    </w:rPr>
  </w:style>
  <w:style w:type="character" w:customStyle="1" w:styleId="et03">
    <w:name w:val="et03"/>
    <w:basedOn w:val="DefaultParagraphFont"/>
    <w:rsid w:val="006322AC"/>
    <w:rPr>
      <w:rFonts w:ascii="Times New Roman" w:hAnsi="Times New Roman" w:cs="Times New Roman" w:hint="default"/>
    </w:rPr>
  </w:style>
  <w:style w:type="paragraph" w:styleId="ListParagraph">
    <w:name w:val="List Paragraph"/>
    <w:basedOn w:val="Normal"/>
    <w:uiPriority w:val="34"/>
    <w:qFormat/>
    <w:rsid w:val="00763357"/>
    <w:pPr>
      <w:ind w:left="720"/>
      <w:contextualSpacing/>
    </w:pPr>
  </w:style>
  <w:style w:type="paragraph" w:styleId="BalloonText">
    <w:name w:val="Balloon Text"/>
    <w:basedOn w:val="Normal"/>
    <w:link w:val="BalloonTextChar"/>
    <w:uiPriority w:val="99"/>
    <w:semiHidden/>
    <w:unhideWhenUsed/>
    <w:rsid w:val="00763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35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136337334">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18"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7" Type="http://schemas.openxmlformats.org/officeDocument/2006/relationships/hyperlink" Target="https://www.law.cornell.edu/definitions/index.php?width=840&amp;height=800&amp;iframe=true&amp;def_id=2095af3d2644c5f6854561b880c52969&amp;term_occur=999&amp;term_src=Title:20:Chapter:V:Part:625:625.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20"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f5fa1bd336151038ef33802286d066eb&amp;term_occur=999&amp;term_src=Title:20:Chapter:V:Part:625:62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9"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14"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7593-9742-4E55-A88C-9596CFF3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32</TotalTime>
  <Pages>1</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12</cp:revision>
  <cp:lastPrinted>2021-02-25T00:28:00Z</cp:lastPrinted>
  <dcterms:created xsi:type="dcterms:W3CDTF">2021-02-24T17:53:00Z</dcterms:created>
  <dcterms:modified xsi:type="dcterms:W3CDTF">2021-02-25T00:29:00Z</dcterms:modified>
</cp:coreProperties>
</file>