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EB8B" w14:textId="77777777" w:rsidR="00F52BEA" w:rsidRDefault="00FD6FBA"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6892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6D9614E7" w14:textId="77777777" w:rsidR="00F52BEA" w:rsidRDefault="00F52BEA" w:rsidP="00F52BEA">
      <w:pPr>
        <w:pStyle w:val="Heading3"/>
        <w:widowControl/>
        <w:tabs>
          <w:tab w:val="center" w:pos="4680"/>
        </w:tabs>
        <w:suppressAutoHyphens/>
        <w:rPr>
          <w:rFonts w:ascii="Bookman Old Style" w:hAnsi="Bookman Old Style"/>
        </w:rPr>
      </w:pPr>
    </w:p>
    <w:p w14:paraId="31ACC0DA" w14:textId="77777777" w:rsidR="00F52BEA" w:rsidRDefault="00F52BEA" w:rsidP="00F52BEA">
      <w:pPr>
        <w:pStyle w:val="Heading3"/>
        <w:widowControl/>
        <w:tabs>
          <w:tab w:val="center" w:pos="4680"/>
        </w:tabs>
        <w:suppressAutoHyphens/>
        <w:rPr>
          <w:rFonts w:ascii="Bookman Old Style" w:hAnsi="Bookman Old Style"/>
        </w:rPr>
      </w:pPr>
    </w:p>
    <w:p w14:paraId="4B6F4A6E" w14:textId="77777777" w:rsidR="00F52BEA" w:rsidRDefault="00F52BEA" w:rsidP="00F52BEA">
      <w:pPr>
        <w:pStyle w:val="Heading3"/>
        <w:widowControl/>
        <w:tabs>
          <w:tab w:val="center" w:pos="4680"/>
        </w:tabs>
        <w:suppressAutoHyphens/>
        <w:rPr>
          <w:rFonts w:ascii="Bookman Old Style" w:hAnsi="Bookman Old Style"/>
        </w:rPr>
      </w:pPr>
    </w:p>
    <w:p w14:paraId="078732A2" w14:textId="77777777" w:rsidR="00F52BEA" w:rsidRDefault="00F52BEA" w:rsidP="00F52BEA">
      <w:pPr>
        <w:pStyle w:val="Heading3"/>
        <w:widowControl/>
        <w:tabs>
          <w:tab w:val="center" w:pos="4680"/>
        </w:tabs>
        <w:suppressAutoHyphens/>
        <w:rPr>
          <w:rFonts w:ascii="Bookman Old Style" w:hAnsi="Bookman Old Style"/>
        </w:rPr>
      </w:pPr>
    </w:p>
    <w:p w14:paraId="68AE2E11"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7D2A2B5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55CEDC9D" w14:textId="77777777" w:rsidR="00F52BEA" w:rsidRPr="00E54541" w:rsidRDefault="00F52BEA" w:rsidP="00E54541">
      <w:pPr>
        <w:widowControl/>
        <w:tabs>
          <w:tab w:val="left" w:pos="-720"/>
        </w:tabs>
        <w:suppressAutoHyphens/>
        <w:rPr>
          <w:rFonts w:ascii="Bookman Old Style" w:hAnsi="Bookman Old Style"/>
          <w:szCs w:val="24"/>
        </w:rPr>
      </w:pPr>
    </w:p>
    <w:p w14:paraId="7BF24BAC"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94E011E" w14:textId="77777777" w:rsidR="005A281D" w:rsidRPr="00E54541" w:rsidRDefault="005A281D" w:rsidP="00E54541">
      <w:pPr>
        <w:widowControl/>
        <w:tabs>
          <w:tab w:val="left" w:pos="-720"/>
        </w:tabs>
        <w:suppressAutoHyphens/>
        <w:rPr>
          <w:rFonts w:ascii="Bookman Old Style" w:hAnsi="Bookman Old Style"/>
          <w:szCs w:val="24"/>
        </w:rPr>
      </w:pPr>
    </w:p>
    <w:p w14:paraId="608DAAA5" w14:textId="282FC2AE"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172955">
        <w:rPr>
          <w:rFonts w:ascii="Bookman Old Style" w:hAnsi="Bookman Old Style"/>
          <w:szCs w:val="24"/>
        </w:rPr>
        <w:t>21 0027</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172955">
        <w:rPr>
          <w:rFonts w:ascii="Bookman Old Style" w:hAnsi="Bookman Old Style"/>
          <w:szCs w:val="24"/>
        </w:rPr>
        <w:t>May 20, 2021</w:t>
      </w:r>
    </w:p>
    <w:p w14:paraId="35D8787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C928F73" w14:textId="77777777" w:rsidR="005A281D" w:rsidRPr="00E54541" w:rsidRDefault="005A281D" w:rsidP="00172955">
      <w:pPr>
        <w:widowControl/>
        <w:tabs>
          <w:tab w:val="left" w:pos="-1440"/>
          <w:tab w:val="left" w:pos="-720"/>
          <w:tab w:val="left" w:pos="0"/>
          <w:tab w:val="left" w:pos="504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D961249"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3B5C03CA" w14:textId="170D3591" w:rsidR="00172955" w:rsidRPr="00172955" w:rsidRDefault="00172955" w:rsidP="00172955">
      <w:pPr>
        <w:widowControl/>
        <w:tabs>
          <w:tab w:val="left" w:pos="-1440"/>
          <w:tab w:val="left" w:pos="-720"/>
          <w:tab w:val="left" w:pos="0"/>
          <w:tab w:val="left" w:pos="5040"/>
        </w:tabs>
        <w:suppressAutoHyphens/>
        <w:ind w:right="-360"/>
        <w:rPr>
          <w:rFonts w:ascii="Bookman Old Style" w:hAnsi="Bookman Old Style"/>
          <w:szCs w:val="24"/>
        </w:rPr>
      </w:pPr>
      <w:r w:rsidRPr="00172955">
        <w:rPr>
          <w:rFonts w:ascii="Bookman Old Style" w:hAnsi="Bookman Old Style"/>
          <w:szCs w:val="24"/>
        </w:rPr>
        <w:t>JULIA</w:t>
      </w:r>
      <w:r>
        <w:rPr>
          <w:rFonts w:ascii="Bookman Old Style" w:hAnsi="Bookman Old Style"/>
          <w:szCs w:val="24"/>
        </w:rPr>
        <w:t xml:space="preserve"> </w:t>
      </w:r>
      <w:r w:rsidRPr="00172955">
        <w:rPr>
          <w:rFonts w:ascii="Bookman Old Style" w:hAnsi="Bookman Old Style"/>
          <w:szCs w:val="24"/>
        </w:rPr>
        <w:t>CISNEROS</w:t>
      </w:r>
      <w:r>
        <w:rPr>
          <w:rFonts w:ascii="Bookman Old Style" w:hAnsi="Bookman Old Style"/>
          <w:szCs w:val="24"/>
        </w:rPr>
        <w:tab/>
      </w:r>
      <w:r w:rsidRPr="00172955">
        <w:rPr>
          <w:rFonts w:ascii="Bookman Old Style" w:hAnsi="Bookman Old Style"/>
          <w:szCs w:val="24"/>
        </w:rPr>
        <w:t>MV PUBLIC TRANSPORTATION INC</w:t>
      </w:r>
    </w:p>
    <w:p w14:paraId="1C8540FF" w14:textId="0F20841F" w:rsidR="005A281D"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6D79628A" w14:textId="64C63AB2" w:rsidR="00FD6FBA" w:rsidRDefault="00FD6FBA" w:rsidP="00172955">
      <w:pPr>
        <w:widowControl/>
        <w:tabs>
          <w:tab w:val="left" w:pos="-1440"/>
          <w:tab w:val="left" w:pos="-720"/>
          <w:tab w:val="left" w:pos="0"/>
          <w:tab w:val="left" w:pos="5040"/>
        </w:tabs>
        <w:suppressAutoHyphens/>
        <w:ind w:right="-360"/>
        <w:rPr>
          <w:rFonts w:ascii="Bookman Old Style" w:hAnsi="Bookman Old Style"/>
          <w:szCs w:val="24"/>
        </w:rPr>
      </w:pPr>
    </w:p>
    <w:p w14:paraId="23C6B487" w14:textId="77777777" w:rsidR="00FD6FBA" w:rsidRPr="00E54541" w:rsidRDefault="00FD6FBA" w:rsidP="00172955">
      <w:pPr>
        <w:widowControl/>
        <w:tabs>
          <w:tab w:val="left" w:pos="-1440"/>
          <w:tab w:val="left" w:pos="-720"/>
          <w:tab w:val="left" w:pos="0"/>
          <w:tab w:val="left" w:pos="5040"/>
        </w:tabs>
        <w:suppressAutoHyphens/>
        <w:ind w:right="-360"/>
        <w:rPr>
          <w:rFonts w:ascii="Bookman Old Style" w:hAnsi="Bookman Old Style"/>
          <w:szCs w:val="24"/>
        </w:rPr>
      </w:pPr>
    </w:p>
    <w:p w14:paraId="3F1B301B"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111161DD"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4DC5887D" w14:textId="30D2E769" w:rsidR="005A281D" w:rsidRDefault="00172955" w:rsidP="00172955">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Julia Cisneros</w:t>
      </w:r>
      <w:r w:rsidR="003E7E91" w:rsidRPr="00E54541">
        <w:rPr>
          <w:rFonts w:ascii="Bookman Old Style" w:hAnsi="Bookman Old Style"/>
          <w:szCs w:val="24"/>
        </w:rPr>
        <w:tab/>
      </w:r>
      <w:r>
        <w:rPr>
          <w:rFonts w:ascii="Bookman Old Style" w:hAnsi="Bookman Old Style"/>
          <w:szCs w:val="24"/>
        </w:rPr>
        <w:t>LuAnn Aitken</w:t>
      </w:r>
    </w:p>
    <w:p w14:paraId="2604754C" w14:textId="77777777" w:rsidR="00172955" w:rsidRPr="00E54541" w:rsidRDefault="00172955" w:rsidP="00172955">
      <w:pPr>
        <w:widowControl/>
        <w:tabs>
          <w:tab w:val="left" w:pos="-1440"/>
          <w:tab w:val="left" w:pos="-720"/>
          <w:tab w:val="left" w:pos="0"/>
          <w:tab w:val="left" w:pos="5040"/>
        </w:tabs>
        <w:suppressAutoHyphens/>
        <w:ind w:right="-360"/>
        <w:rPr>
          <w:rFonts w:ascii="Bookman Old Style" w:hAnsi="Bookman Old Style"/>
          <w:szCs w:val="24"/>
        </w:rPr>
      </w:pPr>
    </w:p>
    <w:p w14:paraId="2E1202D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0404E83A" w14:textId="77777777" w:rsidR="005A281D" w:rsidRPr="00E54541" w:rsidRDefault="005A281D" w:rsidP="00E54541">
      <w:pPr>
        <w:tabs>
          <w:tab w:val="left" w:pos="-1440"/>
          <w:tab w:val="left" w:pos="-720"/>
        </w:tabs>
        <w:rPr>
          <w:rFonts w:ascii="Bookman Old Style" w:hAnsi="Bookman Old Style"/>
          <w:szCs w:val="24"/>
        </w:rPr>
      </w:pPr>
    </w:p>
    <w:p w14:paraId="7D7CAD0E" w14:textId="332B1D98" w:rsidR="005A281D" w:rsidRPr="0013401E" w:rsidRDefault="00C035D6" w:rsidP="0013401E">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172955">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w:t>
      </w:r>
      <w:r w:rsidR="00CF1306">
        <w:rPr>
          <w:rFonts w:ascii="Bookman Old Style" w:hAnsi="Bookman Old Style"/>
          <w:snapToGrid/>
          <w:szCs w:val="24"/>
        </w:rPr>
        <w:t>two determinations issued</w:t>
      </w:r>
      <w:r w:rsidRPr="00E54541">
        <w:rPr>
          <w:rFonts w:ascii="Bookman Old Style" w:hAnsi="Bookman Old Style"/>
          <w:snapToGrid/>
          <w:szCs w:val="24"/>
        </w:rPr>
        <w:t xml:space="preserve"> </w:t>
      </w:r>
      <w:r w:rsidR="00172955">
        <w:rPr>
          <w:rFonts w:ascii="Bookman Old Style" w:hAnsi="Bookman Old Style"/>
          <w:snapToGrid/>
          <w:szCs w:val="24"/>
        </w:rPr>
        <w:t>December 23, 2020</w:t>
      </w:r>
      <w:r w:rsidR="0013401E">
        <w:rPr>
          <w:rFonts w:ascii="Bookman Old Style" w:hAnsi="Bookman Old Style"/>
          <w:snapToGrid/>
          <w:szCs w:val="24"/>
        </w:rPr>
        <w:t xml:space="preserve">, </w:t>
      </w:r>
      <w:r w:rsidR="00CF1306">
        <w:rPr>
          <w:rFonts w:ascii="Bookman Old Style" w:hAnsi="Bookman Old Style"/>
          <w:snapToGrid/>
          <w:szCs w:val="24"/>
        </w:rPr>
        <w:t>both of</w:t>
      </w:r>
      <w:r w:rsidRPr="00E54541">
        <w:rPr>
          <w:rFonts w:ascii="Bookman Old Style" w:hAnsi="Bookman Old Style"/>
          <w:snapToGrid/>
          <w:szCs w:val="24"/>
        </w:rPr>
        <w:t xml:space="preserve"> which denied benefits under Alaska Statute 23.20.379. The issue before the Appeal Tribunal is whether the claimant voluntarily quit suitable work without good cause or was discharged for misconduct connected with the work.</w:t>
      </w:r>
    </w:p>
    <w:p w14:paraId="3307E8A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51740363" w14:textId="77777777" w:rsidR="005A281D" w:rsidRPr="00E54541" w:rsidRDefault="005A281D" w:rsidP="00E54541">
      <w:pPr>
        <w:tabs>
          <w:tab w:val="left" w:pos="-1440"/>
          <w:tab w:val="left" w:pos="-720"/>
        </w:tabs>
        <w:rPr>
          <w:rFonts w:ascii="Bookman Old Style" w:hAnsi="Bookman Old Style"/>
          <w:szCs w:val="24"/>
        </w:rPr>
      </w:pPr>
    </w:p>
    <w:p w14:paraId="68B530AB" w14:textId="4043F50A"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6A1EEB">
        <w:rPr>
          <w:rFonts w:ascii="Bookman Old Style" w:hAnsi="Bookman Old Style"/>
          <w:snapToGrid/>
          <w:szCs w:val="24"/>
        </w:rPr>
        <w:t>June 1, 2000</w:t>
      </w:r>
      <w:r w:rsidRPr="00E54541">
        <w:rPr>
          <w:rFonts w:ascii="Bookman Old Style" w:hAnsi="Bookman Old Style"/>
          <w:snapToGrid/>
          <w:szCs w:val="24"/>
        </w:rPr>
        <w:t xml:space="preserve">. </w:t>
      </w:r>
      <w:r w:rsidR="006A1EEB">
        <w:rPr>
          <w:rFonts w:ascii="Bookman Old Style" w:hAnsi="Bookman Old Style"/>
          <w:snapToGrid/>
          <w:szCs w:val="24"/>
        </w:rPr>
        <w:t>She</w:t>
      </w:r>
      <w:r w:rsidRPr="00E54541">
        <w:rPr>
          <w:rFonts w:ascii="Bookman Old Style" w:hAnsi="Bookman Old Style"/>
          <w:snapToGrid/>
          <w:szCs w:val="24"/>
        </w:rPr>
        <w:t xml:space="preserve"> last worked on </w:t>
      </w:r>
      <w:r w:rsidR="006A1EEB">
        <w:rPr>
          <w:rFonts w:ascii="Bookman Old Style" w:hAnsi="Bookman Old Style"/>
          <w:snapToGrid/>
          <w:szCs w:val="24"/>
        </w:rPr>
        <w:t>October 8, 2020</w:t>
      </w:r>
      <w:r w:rsidRPr="00E54541">
        <w:rPr>
          <w:rFonts w:ascii="Bookman Old Style" w:hAnsi="Bookman Old Style"/>
          <w:snapToGrid/>
          <w:szCs w:val="24"/>
        </w:rPr>
        <w:t xml:space="preserve">. At that time, </w:t>
      </w:r>
      <w:r w:rsidR="006A1EEB">
        <w:rPr>
          <w:rFonts w:ascii="Bookman Old Style" w:hAnsi="Bookman Old Style"/>
          <w:snapToGrid/>
          <w:szCs w:val="24"/>
        </w:rPr>
        <w:t>she</w:t>
      </w:r>
      <w:r w:rsidRPr="00E54541">
        <w:rPr>
          <w:rFonts w:ascii="Bookman Old Style" w:hAnsi="Bookman Old Style"/>
          <w:snapToGrid/>
          <w:szCs w:val="24"/>
        </w:rPr>
        <w:t xml:space="preserve"> worked </w:t>
      </w:r>
      <w:r w:rsidR="006A1EEB">
        <w:rPr>
          <w:rFonts w:ascii="Bookman Old Style" w:hAnsi="Bookman Old Style"/>
          <w:snapToGrid/>
          <w:szCs w:val="24"/>
        </w:rPr>
        <w:t>full-time</w:t>
      </w:r>
      <w:r w:rsidRPr="00E54541">
        <w:rPr>
          <w:rFonts w:ascii="Bookman Old Style" w:hAnsi="Bookman Old Style"/>
          <w:snapToGrid/>
          <w:szCs w:val="24"/>
        </w:rPr>
        <w:t xml:space="preserve"> as a </w:t>
      </w:r>
      <w:r w:rsidR="006A1EEB">
        <w:rPr>
          <w:rFonts w:ascii="Bookman Old Style" w:hAnsi="Bookman Old Style"/>
          <w:snapToGrid/>
          <w:szCs w:val="24"/>
        </w:rPr>
        <w:t>driver</w:t>
      </w:r>
      <w:r w:rsidRPr="00E54541">
        <w:rPr>
          <w:rFonts w:ascii="Bookman Old Style" w:hAnsi="Bookman Old Style"/>
          <w:snapToGrid/>
          <w:szCs w:val="24"/>
        </w:rPr>
        <w:t>.</w:t>
      </w:r>
    </w:p>
    <w:p w14:paraId="346B107D" w14:textId="5255A662" w:rsidR="00EF524E" w:rsidRDefault="006A1EEB"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claimant’s DOT</w:t>
      </w:r>
      <w:r w:rsidR="00EF524E">
        <w:rPr>
          <w:rFonts w:ascii="Bookman Old Style" w:hAnsi="Bookman Old Style"/>
          <w:snapToGrid/>
          <w:szCs w:val="24"/>
        </w:rPr>
        <w:t xml:space="preserve"> fitness</w:t>
      </w:r>
      <w:r>
        <w:rPr>
          <w:rFonts w:ascii="Bookman Old Style" w:hAnsi="Bookman Old Style"/>
          <w:snapToGrid/>
          <w:szCs w:val="24"/>
        </w:rPr>
        <w:t xml:space="preserve"> card, a requirement for the claimant’s position, </w:t>
      </w:r>
      <w:r w:rsidR="00EF524E">
        <w:rPr>
          <w:rFonts w:ascii="Bookman Old Style" w:hAnsi="Bookman Old Style"/>
          <w:snapToGrid/>
          <w:szCs w:val="24"/>
        </w:rPr>
        <w:t xml:space="preserve">was noted to be </w:t>
      </w:r>
      <w:r>
        <w:rPr>
          <w:rFonts w:ascii="Bookman Old Style" w:hAnsi="Bookman Old Style"/>
          <w:snapToGrid/>
          <w:szCs w:val="24"/>
        </w:rPr>
        <w:t xml:space="preserve">expired. </w:t>
      </w:r>
      <w:r w:rsidR="007149F1">
        <w:rPr>
          <w:rFonts w:ascii="Bookman Old Style" w:hAnsi="Bookman Old Style"/>
          <w:snapToGrid/>
          <w:szCs w:val="24"/>
        </w:rPr>
        <w:t xml:space="preserve">The claimant failed initial tests to have her card renewed because she had not been complying with requirements to wear her CPAP machine four hours per night. </w:t>
      </w:r>
      <w:r>
        <w:rPr>
          <w:rFonts w:ascii="Bookman Old Style" w:hAnsi="Bookman Old Style"/>
          <w:snapToGrid/>
          <w:szCs w:val="24"/>
        </w:rPr>
        <w:t>The employer granted the claimant a leave of absence to get her card renewed</w:t>
      </w:r>
      <w:r w:rsidR="00EF524E">
        <w:rPr>
          <w:rFonts w:ascii="Bookman Old Style" w:hAnsi="Bookman Old Style"/>
          <w:snapToGrid/>
          <w:szCs w:val="24"/>
        </w:rPr>
        <w:t xml:space="preserve"> because she could not be permitted to drive without a current fitness card. The claimant established her claim for unemployment benefits effective October 11, 2020.</w:t>
      </w:r>
    </w:p>
    <w:p w14:paraId="5221399E" w14:textId="05B0967A" w:rsidR="00B355CA" w:rsidRDefault="006A1EEB"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w:t>
      </w:r>
      <w:r w:rsidR="007149F1">
        <w:rPr>
          <w:rFonts w:ascii="Bookman Old Style" w:hAnsi="Bookman Old Style"/>
          <w:snapToGrid/>
          <w:szCs w:val="24"/>
        </w:rPr>
        <w:t xml:space="preserve"> was able to pass her tests,</w:t>
      </w:r>
      <w:r>
        <w:rPr>
          <w:rFonts w:ascii="Bookman Old Style" w:hAnsi="Bookman Old Style"/>
          <w:snapToGrid/>
          <w:szCs w:val="24"/>
        </w:rPr>
        <w:t xml:space="preserve"> renew her </w:t>
      </w:r>
      <w:r w:rsidR="00EF524E">
        <w:rPr>
          <w:rFonts w:ascii="Bookman Old Style" w:hAnsi="Bookman Old Style"/>
          <w:snapToGrid/>
          <w:szCs w:val="24"/>
        </w:rPr>
        <w:t xml:space="preserve">DOT fitness </w:t>
      </w:r>
      <w:r>
        <w:rPr>
          <w:rFonts w:ascii="Bookman Old Style" w:hAnsi="Bookman Old Style"/>
          <w:snapToGrid/>
          <w:szCs w:val="24"/>
        </w:rPr>
        <w:t xml:space="preserve">card and was cleared to return to work.  She was scheduled to </w:t>
      </w:r>
      <w:r w:rsidR="007149F1">
        <w:rPr>
          <w:rFonts w:ascii="Bookman Old Style" w:hAnsi="Bookman Old Style"/>
          <w:snapToGrid/>
          <w:szCs w:val="24"/>
        </w:rPr>
        <w:t xml:space="preserve">return to </w:t>
      </w:r>
      <w:r>
        <w:rPr>
          <w:rFonts w:ascii="Bookman Old Style" w:hAnsi="Bookman Old Style"/>
          <w:snapToGrid/>
          <w:szCs w:val="24"/>
        </w:rPr>
        <w:t xml:space="preserve">work </w:t>
      </w:r>
      <w:r w:rsidR="0013401E">
        <w:rPr>
          <w:rFonts w:ascii="Bookman Old Style" w:hAnsi="Bookman Old Style"/>
          <w:snapToGrid/>
          <w:szCs w:val="24"/>
        </w:rPr>
        <w:t>on           November</w:t>
      </w:r>
      <w:r>
        <w:rPr>
          <w:rFonts w:ascii="Bookman Old Style" w:hAnsi="Bookman Old Style"/>
          <w:snapToGrid/>
          <w:szCs w:val="24"/>
        </w:rPr>
        <w:t xml:space="preserve"> 10, 2020. The claimant was sick and coughing at that time and she did not work.  The employer’s records show the claimant called out each day</w:t>
      </w:r>
      <w:r w:rsidR="007149F1">
        <w:rPr>
          <w:rFonts w:ascii="Bookman Old Style" w:hAnsi="Bookman Old Style"/>
          <w:snapToGrid/>
          <w:szCs w:val="24"/>
        </w:rPr>
        <w:t xml:space="preserve"> through October 16, 2020</w:t>
      </w:r>
      <w:r>
        <w:rPr>
          <w:rFonts w:ascii="Bookman Old Style" w:hAnsi="Bookman Old Style"/>
          <w:snapToGrid/>
          <w:szCs w:val="24"/>
        </w:rPr>
        <w:t xml:space="preserve">. </w:t>
      </w:r>
      <w:r w:rsidR="007149F1">
        <w:rPr>
          <w:rFonts w:ascii="Bookman Old Style" w:hAnsi="Bookman Old Style"/>
          <w:snapToGrid/>
          <w:szCs w:val="24"/>
        </w:rPr>
        <w:t xml:space="preserve">The claimant did not recall that she had called the employer during that period. </w:t>
      </w:r>
      <w:r>
        <w:rPr>
          <w:rFonts w:ascii="Bookman Old Style" w:hAnsi="Bookman Old Style"/>
          <w:snapToGrid/>
          <w:szCs w:val="24"/>
        </w:rPr>
        <w:t xml:space="preserve">The employer deducted one point from the claimant’s </w:t>
      </w:r>
      <w:r>
        <w:rPr>
          <w:rFonts w:ascii="Bookman Old Style" w:hAnsi="Bookman Old Style"/>
          <w:snapToGrid/>
          <w:szCs w:val="24"/>
        </w:rPr>
        <w:lastRenderedPageBreak/>
        <w:t>attendance points</w:t>
      </w:r>
      <w:r w:rsidR="00B355CA">
        <w:rPr>
          <w:rFonts w:ascii="Bookman Old Style" w:hAnsi="Bookman Old Style"/>
          <w:snapToGrid/>
          <w:szCs w:val="24"/>
        </w:rPr>
        <w:t xml:space="preserve"> for </w:t>
      </w:r>
      <w:r w:rsidR="0013401E">
        <w:rPr>
          <w:rFonts w:ascii="Bookman Old Style" w:hAnsi="Bookman Old Style"/>
          <w:snapToGrid/>
          <w:szCs w:val="24"/>
        </w:rPr>
        <w:t>those</w:t>
      </w:r>
      <w:r w:rsidR="00B355CA">
        <w:rPr>
          <w:rFonts w:ascii="Bookman Old Style" w:hAnsi="Bookman Old Style"/>
          <w:snapToGrid/>
          <w:szCs w:val="24"/>
        </w:rPr>
        <w:t xml:space="preserve"> absence</w:t>
      </w:r>
      <w:r w:rsidR="0013401E">
        <w:rPr>
          <w:rFonts w:ascii="Bookman Old Style" w:hAnsi="Bookman Old Style"/>
          <w:snapToGrid/>
          <w:szCs w:val="24"/>
        </w:rPr>
        <w:t>s</w:t>
      </w:r>
      <w:r w:rsidR="00042D97">
        <w:rPr>
          <w:rFonts w:ascii="Bookman Old Style" w:hAnsi="Bookman Old Style"/>
          <w:snapToGrid/>
          <w:szCs w:val="24"/>
        </w:rPr>
        <w:t>, according to the employer’s policy</w:t>
      </w:r>
      <w:r w:rsidR="00B355CA">
        <w:rPr>
          <w:rFonts w:ascii="Bookman Old Style" w:hAnsi="Bookman Old Style"/>
          <w:snapToGrid/>
          <w:szCs w:val="24"/>
        </w:rPr>
        <w:t xml:space="preserve">. The </w:t>
      </w:r>
      <w:r w:rsidR="007A74D3">
        <w:rPr>
          <w:rFonts w:ascii="Bookman Old Style" w:hAnsi="Bookman Old Style"/>
          <w:snapToGrid/>
          <w:szCs w:val="24"/>
        </w:rPr>
        <w:t>claimant’s supervisor</w:t>
      </w:r>
      <w:r w:rsidR="00B355CA">
        <w:rPr>
          <w:rFonts w:ascii="Bookman Old Style" w:hAnsi="Bookman Old Style"/>
          <w:snapToGrid/>
          <w:szCs w:val="24"/>
        </w:rPr>
        <w:t xml:space="preserve"> spoke with the claimant on November 16, 2020 </w:t>
      </w:r>
      <w:r w:rsidR="007A74D3">
        <w:rPr>
          <w:rFonts w:ascii="Bookman Old Style" w:hAnsi="Bookman Old Style"/>
          <w:snapToGrid/>
          <w:szCs w:val="24"/>
        </w:rPr>
        <w:t>to ask how the claimant was feeling, and she advised the claimant</w:t>
      </w:r>
      <w:r w:rsidR="00B355CA">
        <w:rPr>
          <w:rFonts w:ascii="Bookman Old Style" w:hAnsi="Bookman Old Style"/>
          <w:snapToGrid/>
          <w:szCs w:val="24"/>
        </w:rPr>
        <w:t xml:space="preserve"> to get a COVID-19 test before returning to work.  </w:t>
      </w:r>
    </w:p>
    <w:p w14:paraId="0A1C5ED2" w14:textId="1AAFB279" w:rsidR="006A1EEB" w:rsidRDefault="00B355CA"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did not report to work on November 17, 2020 and she did not call the employer. The employer deducted 4 points from the claimant’s available attendance points for the no call, no show.  The employer sent the claimant a text message, asking if she needed information on applying for</w:t>
      </w:r>
      <w:r w:rsidR="00042D97">
        <w:rPr>
          <w:rFonts w:ascii="Bookman Old Style" w:hAnsi="Bookman Old Style"/>
          <w:snapToGrid/>
          <w:szCs w:val="24"/>
        </w:rPr>
        <w:t xml:space="preserve"> leave under the </w:t>
      </w:r>
      <w:r>
        <w:rPr>
          <w:rFonts w:ascii="Bookman Old Style" w:hAnsi="Bookman Old Style"/>
          <w:snapToGrid/>
          <w:szCs w:val="24"/>
        </w:rPr>
        <w:t>Family Medical Leave</w:t>
      </w:r>
      <w:r w:rsidR="00042D97">
        <w:rPr>
          <w:rFonts w:ascii="Bookman Old Style" w:hAnsi="Bookman Old Style"/>
          <w:snapToGrid/>
          <w:szCs w:val="24"/>
        </w:rPr>
        <w:t xml:space="preserve"> Act</w:t>
      </w:r>
      <w:r>
        <w:rPr>
          <w:rFonts w:ascii="Bookman Old Style" w:hAnsi="Bookman Old Style"/>
          <w:snapToGrid/>
          <w:szCs w:val="24"/>
        </w:rPr>
        <w:t xml:space="preserve">. </w:t>
      </w:r>
    </w:p>
    <w:p w14:paraId="0FCBF4DD" w14:textId="59B90290" w:rsidR="00B355CA" w:rsidRPr="00F21862" w:rsidRDefault="00B355CA" w:rsidP="00F21862">
      <w:pPr>
        <w:spacing w:after="200"/>
        <w:ind w:right="-360"/>
        <w:rPr>
          <w:rFonts w:ascii="Bookman Old Style" w:hAnsi="Bookman Old Style"/>
          <w:snapToGrid/>
          <w:szCs w:val="24"/>
        </w:rPr>
      </w:pPr>
      <w:r w:rsidRPr="00F21862">
        <w:rPr>
          <w:rFonts w:ascii="Bookman Old Style" w:hAnsi="Bookman Old Style"/>
          <w:snapToGrid/>
          <w:szCs w:val="24"/>
        </w:rPr>
        <w:t xml:space="preserve">The employer had no further contact from the claimant until November 30, 2020, when the claimant’s supervisor sent the claimant a text message because the claimant did not answer </w:t>
      </w:r>
      <w:r w:rsidR="003F334B">
        <w:rPr>
          <w:rFonts w:ascii="Bookman Old Style" w:hAnsi="Bookman Old Style"/>
          <w:snapToGrid/>
          <w:szCs w:val="24"/>
        </w:rPr>
        <w:t xml:space="preserve">her </w:t>
      </w:r>
      <w:r w:rsidRPr="00F21862">
        <w:rPr>
          <w:rFonts w:ascii="Bookman Old Style" w:hAnsi="Bookman Old Style"/>
          <w:snapToGrid/>
          <w:szCs w:val="24"/>
        </w:rPr>
        <w:t xml:space="preserve">calls.  The </w:t>
      </w:r>
      <w:r w:rsidR="003F334B">
        <w:rPr>
          <w:rFonts w:ascii="Bookman Old Style" w:hAnsi="Bookman Old Style"/>
          <w:snapToGrid/>
          <w:szCs w:val="24"/>
        </w:rPr>
        <w:t>supervisor</w:t>
      </w:r>
      <w:r w:rsidRPr="00F21862">
        <w:rPr>
          <w:rFonts w:ascii="Bookman Old Style" w:hAnsi="Bookman Old Style"/>
          <w:snapToGrid/>
          <w:szCs w:val="24"/>
        </w:rPr>
        <w:t xml:space="preserve"> told the claimant that she could no longer be </w:t>
      </w:r>
      <w:r w:rsidR="007A74D3">
        <w:rPr>
          <w:rFonts w:ascii="Bookman Old Style" w:hAnsi="Bookman Old Style"/>
          <w:snapToGrid/>
          <w:szCs w:val="24"/>
        </w:rPr>
        <w:t>o</w:t>
      </w:r>
      <w:r w:rsidRPr="00F21862">
        <w:rPr>
          <w:rFonts w:ascii="Bookman Old Style" w:hAnsi="Bookman Old Style"/>
          <w:snapToGrid/>
          <w:szCs w:val="24"/>
        </w:rPr>
        <w:t>ff the work schedule unless she provided a note from her doctor.  The claimant re</w:t>
      </w:r>
      <w:r w:rsidR="00F21862" w:rsidRPr="00F21862">
        <w:rPr>
          <w:rFonts w:ascii="Bookman Old Style" w:hAnsi="Bookman Old Style"/>
          <w:snapToGrid/>
          <w:szCs w:val="24"/>
        </w:rPr>
        <w:t>s</w:t>
      </w:r>
      <w:r w:rsidRPr="00F21862">
        <w:rPr>
          <w:rFonts w:ascii="Bookman Old Style" w:hAnsi="Bookman Old Style"/>
          <w:snapToGrid/>
          <w:szCs w:val="24"/>
        </w:rPr>
        <w:t xml:space="preserve">ponded that she thought she had already been discharged because she </w:t>
      </w:r>
      <w:r w:rsidR="00042D97">
        <w:rPr>
          <w:rFonts w:ascii="Bookman Old Style" w:hAnsi="Bookman Old Style"/>
          <w:snapToGrid/>
          <w:szCs w:val="24"/>
        </w:rPr>
        <w:t xml:space="preserve">believed she </w:t>
      </w:r>
      <w:r w:rsidRPr="00F21862">
        <w:rPr>
          <w:rFonts w:ascii="Bookman Old Style" w:hAnsi="Bookman Old Style"/>
          <w:snapToGrid/>
          <w:szCs w:val="24"/>
        </w:rPr>
        <w:t xml:space="preserve">had exceeded the allowed number of attendance points, according to the employer’s </w:t>
      </w:r>
      <w:r w:rsidR="00F21862" w:rsidRPr="00F21862">
        <w:rPr>
          <w:rFonts w:ascii="Bookman Old Style" w:hAnsi="Bookman Old Style"/>
          <w:snapToGrid/>
          <w:szCs w:val="24"/>
        </w:rPr>
        <w:t xml:space="preserve">attendance policy. The supervisor asked the claimant to meet with her and the general manager to discuss a “last chance agreement” concerning the claimant’s </w:t>
      </w:r>
      <w:r w:rsidR="007A74D3" w:rsidRPr="00F21862">
        <w:rPr>
          <w:rFonts w:ascii="Bookman Old Style" w:hAnsi="Bookman Old Style"/>
          <w:snapToGrid/>
          <w:szCs w:val="24"/>
        </w:rPr>
        <w:t xml:space="preserve">attendance </w:t>
      </w:r>
      <w:r w:rsidR="007A74D3">
        <w:rPr>
          <w:rFonts w:ascii="Bookman Old Style" w:hAnsi="Bookman Old Style"/>
          <w:snapToGrid/>
          <w:szCs w:val="24"/>
        </w:rPr>
        <w:t>or a further</w:t>
      </w:r>
      <w:r w:rsidR="003F334B">
        <w:rPr>
          <w:rFonts w:ascii="Bookman Old Style" w:hAnsi="Bookman Old Style"/>
          <w:snapToGrid/>
          <w:szCs w:val="24"/>
        </w:rPr>
        <w:t xml:space="preserve"> </w:t>
      </w:r>
      <w:r w:rsidR="00F21862" w:rsidRPr="00F21862">
        <w:rPr>
          <w:rFonts w:ascii="Bookman Old Style" w:hAnsi="Bookman Old Style"/>
          <w:snapToGrid/>
          <w:szCs w:val="24"/>
        </w:rPr>
        <w:t xml:space="preserve">a leave of absence under the Family Medical Leave Act. </w:t>
      </w:r>
      <w:r w:rsidR="007A74D3">
        <w:rPr>
          <w:rFonts w:ascii="Bookman Old Style" w:hAnsi="Bookman Old Style"/>
          <w:snapToGrid/>
          <w:szCs w:val="24"/>
        </w:rPr>
        <w:t xml:space="preserve">The claimant stated she was not ready to return to work because she was going through a lot at the time.  </w:t>
      </w:r>
      <w:r w:rsidR="00F21862" w:rsidRPr="00F21862">
        <w:rPr>
          <w:rFonts w:ascii="Bookman Old Style" w:hAnsi="Bookman Old Style"/>
          <w:snapToGrid/>
          <w:szCs w:val="24"/>
        </w:rPr>
        <w:t xml:space="preserve">The claimant was advised she could voluntarily resign and be considered for re-hire </w:t>
      </w:r>
      <w:proofErr w:type="gramStart"/>
      <w:r w:rsidR="00F21862" w:rsidRPr="00F21862">
        <w:rPr>
          <w:rFonts w:ascii="Bookman Old Style" w:hAnsi="Bookman Old Style"/>
          <w:snapToGrid/>
          <w:szCs w:val="24"/>
        </w:rPr>
        <w:t>at a later date</w:t>
      </w:r>
      <w:proofErr w:type="gramEnd"/>
      <w:r w:rsidR="00F21862" w:rsidRPr="00F21862">
        <w:rPr>
          <w:rFonts w:ascii="Bookman Old Style" w:hAnsi="Bookman Old Style"/>
          <w:snapToGrid/>
          <w:szCs w:val="24"/>
        </w:rPr>
        <w:t xml:space="preserve">, </w:t>
      </w:r>
      <w:r w:rsidR="00F21862">
        <w:rPr>
          <w:rFonts w:ascii="Bookman Old Style" w:hAnsi="Bookman Old Style"/>
          <w:snapToGrid/>
          <w:szCs w:val="24"/>
        </w:rPr>
        <w:t xml:space="preserve">or </w:t>
      </w:r>
      <w:r w:rsidR="003F334B">
        <w:rPr>
          <w:rFonts w:ascii="Bookman Old Style" w:hAnsi="Bookman Old Style"/>
          <w:snapToGrid/>
          <w:szCs w:val="24"/>
        </w:rPr>
        <w:t xml:space="preserve">she could </w:t>
      </w:r>
      <w:r w:rsidR="00F21862">
        <w:rPr>
          <w:rFonts w:ascii="Bookman Old Style" w:hAnsi="Bookman Old Style"/>
          <w:snapToGrid/>
          <w:szCs w:val="24"/>
        </w:rPr>
        <w:t>be terminated for violating the</w:t>
      </w:r>
      <w:r w:rsidR="003F334B">
        <w:rPr>
          <w:rFonts w:ascii="Bookman Old Style" w:hAnsi="Bookman Old Style"/>
          <w:snapToGrid/>
          <w:szCs w:val="24"/>
        </w:rPr>
        <w:t xml:space="preserve"> employer’s</w:t>
      </w:r>
      <w:r w:rsidR="00F21862">
        <w:rPr>
          <w:rFonts w:ascii="Bookman Old Style" w:hAnsi="Bookman Old Style"/>
          <w:snapToGrid/>
          <w:szCs w:val="24"/>
        </w:rPr>
        <w:t xml:space="preserve"> attendance policy. The supervisor sent the claimant contact information for a counselor and sent her forms to request early retirement. The claimant told the supervisor she just wanted to be terminated so she could receive </w:t>
      </w:r>
      <w:r w:rsidR="00042D97">
        <w:rPr>
          <w:rFonts w:ascii="Bookman Old Style" w:hAnsi="Bookman Old Style"/>
          <w:snapToGrid/>
          <w:szCs w:val="24"/>
        </w:rPr>
        <w:t xml:space="preserve">her </w:t>
      </w:r>
      <w:r w:rsidR="00F21862">
        <w:rPr>
          <w:rFonts w:ascii="Bookman Old Style" w:hAnsi="Bookman Old Style"/>
          <w:snapToGrid/>
          <w:szCs w:val="24"/>
        </w:rPr>
        <w:t xml:space="preserve">unemployment benefits. </w:t>
      </w:r>
      <w:r w:rsidR="00042D97">
        <w:rPr>
          <w:rFonts w:ascii="Bookman Old Style" w:hAnsi="Bookman Old Style"/>
          <w:snapToGrid/>
          <w:szCs w:val="24"/>
        </w:rPr>
        <w:t>The claimant held she made that decision because she was depressed.</w:t>
      </w:r>
    </w:p>
    <w:p w14:paraId="0A18FCEC" w14:textId="77777777" w:rsidR="005A281D" w:rsidRPr="00E54541" w:rsidRDefault="005A281D" w:rsidP="00E54541">
      <w:pPr>
        <w:tabs>
          <w:tab w:val="left" w:pos="-1440"/>
          <w:tab w:val="left" w:pos="-720"/>
        </w:tabs>
        <w:rPr>
          <w:rFonts w:ascii="Bookman Old Style" w:hAnsi="Bookman Old Style"/>
          <w:szCs w:val="24"/>
        </w:rPr>
      </w:pPr>
    </w:p>
    <w:p w14:paraId="7BAB935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003F835D" w14:textId="77777777" w:rsidR="005A281D" w:rsidRPr="00E54541" w:rsidRDefault="005A281D" w:rsidP="00E54541">
      <w:pPr>
        <w:tabs>
          <w:tab w:val="left" w:pos="-1440"/>
          <w:tab w:val="left" w:pos="-720"/>
        </w:tabs>
        <w:rPr>
          <w:rFonts w:ascii="Bookman Old Style" w:hAnsi="Bookman Old Style"/>
          <w:szCs w:val="24"/>
        </w:rPr>
      </w:pPr>
    </w:p>
    <w:p w14:paraId="1F9F40D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B87E2A2"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76A2FEC" w14:textId="67C2841C" w:rsidR="00600E6C" w:rsidRPr="00E54541" w:rsidRDefault="00600E6C" w:rsidP="007A74D3">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2FBD47E1"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0B7B3FBC"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1248BD3B" w14:textId="1F8FE5F1" w:rsidR="00600E6C" w:rsidRDefault="00600E6C" w:rsidP="00E54541">
      <w:pPr>
        <w:tabs>
          <w:tab w:val="left" w:pos="-1440"/>
          <w:tab w:val="left" w:pos="-720"/>
        </w:tabs>
        <w:rPr>
          <w:rFonts w:ascii="Bookman Old Style" w:hAnsi="Bookman Old Style"/>
          <w:szCs w:val="24"/>
        </w:rPr>
      </w:pPr>
    </w:p>
    <w:p w14:paraId="6E750C37" w14:textId="1B6286A1" w:rsidR="00042D97" w:rsidRDefault="00042D97" w:rsidP="00E54541">
      <w:pPr>
        <w:tabs>
          <w:tab w:val="left" w:pos="-1440"/>
          <w:tab w:val="left" w:pos="-720"/>
        </w:tabs>
        <w:rPr>
          <w:rFonts w:ascii="Bookman Old Style" w:hAnsi="Bookman Old Style"/>
          <w:szCs w:val="24"/>
        </w:rPr>
      </w:pPr>
    </w:p>
    <w:p w14:paraId="2DD390A7" w14:textId="77777777" w:rsidR="00042D97" w:rsidRPr="00E54541" w:rsidRDefault="00042D97" w:rsidP="00E54541">
      <w:pPr>
        <w:tabs>
          <w:tab w:val="left" w:pos="-1440"/>
          <w:tab w:val="left" w:pos="-720"/>
        </w:tabs>
        <w:rPr>
          <w:rFonts w:ascii="Bookman Old Style" w:hAnsi="Bookman Old Style"/>
          <w:szCs w:val="24"/>
        </w:rPr>
      </w:pPr>
    </w:p>
    <w:p w14:paraId="0B90412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8210C6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66E68A76"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74C6573B" w14:textId="2C5311EC" w:rsidR="00600E6C" w:rsidRPr="00E54541" w:rsidRDefault="00600E6C" w:rsidP="007A74D3">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780D6226"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47B45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7822C5D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690D2DE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39A81FD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01DA31CF"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2AB5763E"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0E85EA2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42751C3B"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21C8EE82"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3472BA5C" w14:textId="77777777" w:rsidR="00600E6C" w:rsidRPr="00E54541" w:rsidRDefault="00600E6C" w:rsidP="00E54541">
      <w:pPr>
        <w:tabs>
          <w:tab w:val="left" w:pos="-1440"/>
          <w:tab w:val="left" w:pos="-720"/>
        </w:tabs>
        <w:rPr>
          <w:rFonts w:ascii="Bookman Old Style" w:hAnsi="Bookman Old Style"/>
          <w:szCs w:val="24"/>
        </w:rPr>
      </w:pPr>
    </w:p>
    <w:p w14:paraId="306419B0"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0B3A4C9B"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6999DB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5E44534A"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w:t>
      </w:r>
      <w:r w:rsidRPr="00E54541">
        <w:rPr>
          <w:rFonts w:ascii="Bookman Old Style" w:hAnsi="Bookman Old Style"/>
          <w:szCs w:val="24"/>
        </w:rPr>
        <w:lastRenderedPageBreak/>
        <w:t>incapacity, inadvertence, ordinary negligence in isolated instances, or good faith errors in judgment or discretion....</w:t>
      </w:r>
    </w:p>
    <w:p w14:paraId="7E3C279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64C84A76"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72DD7318" w14:textId="77777777" w:rsidR="00600E6C" w:rsidRPr="00E54541" w:rsidRDefault="00600E6C" w:rsidP="00E54541">
      <w:pPr>
        <w:widowControl/>
        <w:autoSpaceDE w:val="0"/>
        <w:autoSpaceDN w:val="0"/>
        <w:adjustRightInd w:val="0"/>
        <w:rPr>
          <w:rFonts w:ascii="Bookman Old Style" w:hAnsi="Bookman Old Style"/>
          <w:snapToGrid/>
          <w:szCs w:val="24"/>
        </w:rPr>
      </w:pPr>
    </w:p>
    <w:p w14:paraId="349564F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24E49E4"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0758F95" w14:textId="77777777" w:rsidR="00600E6C" w:rsidRPr="00E54541" w:rsidRDefault="00600E6C" w:rsidP="00E54541">
      <w:pPr>
        <w:rPr>
          <w:rFonts w:ascii="Bookman Old Style" w:hAnsi="Bookman Old Style"/>
          <w:szCs w:val="24"/>
        </w:rPr>
      </w:pPr>
    </w:p>
    <w:p w14:paraId="69124C93"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E109092" w14:textId="77777777" w:rsidR="00C035D6" w:rsidRPr="00E54541" w:rsidRDefault="00C035D6" w:rsidP="00E54541">
      <w:pPr>
        <w:rPr>
          <w:rFonts w:ascii="Bookman Old Style" w:hAnsi="Bookman Old Style"/>
          <w:szCs w:val="24"/>
        </w:rPr>
      </w:pPr>
    </w:p>
    <w:p w14:paraId="0C925CDC" w14:textId="5FD1A268" w:rsidR="00CF1306" w:rsidRDefault="003F334B"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282408">
        <w:rPr>
          <w:rFonts w:ascii="Bookman Old Style" w:hAnsi="Bookman Old Style"/>
          <w:spacing w:val="-3"/>
          <w:szCs w:val="24"/>
        </w:rPr>
        <w:t>was placed on</w:t>
      </w:r>
      <w:r w:rsidR="00CF1306">
        <w:rPr>
          <w:rFonts w:ascii="Bookman Old Style" w:hAnsi="Bookman Old Style"/>
          <w:spacing w:val="-3"/>
          <w:szCs w:val="24"/>
        </w:rPr>
        <w:t xml:space="preserve"> </w:t>
      </w:r>
      <w:r>
        <w:rPr>
          <w:rFonts w:ascii="Bookman Old Style" w:hAnsi="Bookman Old Style"/>
          <w:spacing w:val="-3"/>
          <w:szCs w:val="24"/>
        </w:rPr>
        <w:t xml:space="preserve">a leave of absence </w:t>
      </w:r>
      <w:r w:rsidR="00042D97">
        <w:rPr>
          <w:rFonts w:ascii="Bookman Old Style" w:hAnsi="Bookman Old Style"/>
          <w:spacing w:val="-3"/>
          <w:szCs w:val="24"/>
        </w:rPr>
        <w:t>after October 8</w:t>
      </w:r>
      <w:r>
        <w:rPr>
          <w:rFonts w:ascii="Bookman Old Style" w:hAnsi="Bookman Old Style"/>
          <w:spacing w:val="-3"/>
          <w:szCs w:val="24"/>
        </w:rPr>
        <w:t xml:space="preserve">, 2020 to renew her required DOT </w:t>
      </w:r>
      <w:r w:rsidR="00042D97">
        <w:rPr>
          <w:rFonts w:ascii="Bookman Old Style" w:hAnsi="Bookman Old Style"/>
          <w:spacing w:val="-3"/>
          <w:szCs w:val="24"/>
        </w:rPr>
        <w:t xml:space="preserve">fitness </w:t>
      </w:r>
      <w:r>
        <w:rPr>
          <w:rFonts w:ascii="Bookman Old Style" w:hAnsi="Bookman Old Style"/>
          <w:spacing w:val="-3"/>
          <w:szCs w:val="24"/>
        </w:rPr>
        <w:t xml:space="preserve">card. The employer could not permit the claimant to work without current DOT authorization. </w:t>
      </w:r>
      <w:r w:rsidR="00CF1306">
        <w:rPr>
          <w:rFonts w:ascii="Bookman Old Style" w:hAnsi="Bookman Old Style"/>
          <w:spacing w:val="-3"/>
          <w:szCs w:val="24"/>
        </w:rPr>
        <w:t>On November 30, 2020, the claimant declined the employer’s offer to protect her job with a leave of absence for medical reason or to return to work with a last chance agreement regarding her attendance. The claimant requested the employer terminate her so she could collect unemployment benefits.</w:t>
      </w:r>
    </w:p>
    <w:p w14:paraId="050EDEDB" w14:textId="268833E1" w:rsidR="00EF524E" w:rsidRDefault="00EF524E" w:rsidP="00E54541">
      <w:pPr>
        <w:suppressAutoHyphens/>
        <w:rPr>
          <w:rFonts w:ascii="Bookman Old Style" w:hAnsi="Bookman Old Style"/>
          <w:spacing w:val="-3"/>
          <w:szCs w:val="24"/>
        </w:rPr>
      </w:pPr>
    </w:p>
    <w:p w14:paraId="3BAFCB0A" w14:textId="77777777" w:rsidR="00EF524E" w:rsidRDefault="00EF524E" w:rsidP="00EF524E">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proofErr w:type="spellStart"/>
      <w:r w:rsidRPr="00B810B3">
        <w:rPr>
          <w:rFonts w:ascii="Bookman Old Style" w:hAnsi="Bookman Old Style" w:cs="Arial"/>
          <w:snapToGrid/>
          <w:szCs w:val="24"/>
          <w:u w:val="single"/>
        </w:rPr>
        <w:t>Alcantra</w:t>
      </w:r>
      <w:proofErr w:type="spellEnd"/>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83H-UI-087, June 6, 1983</w:t>
      </w:r>
      <w:r>
        <w:rPr>
          <w:rFonts w:ascii="Bookman Old Style" w:hAnsi="Bookman Old Style" w:cs="Arial"/>
          <w:snapToGrid/>
          <w:szCs w:val="24"/>
        </w:rPr>
        <w:t>, the Commissioner held, in part:</w:t>
      </w:r>
    </w:p>
    <w:p w14:paraId="620D12B3" w14:textId="77777777" w:rsidR="00EF524E" w:rsidRDefault="00EF524E" w:rsidP="00EF524E">
      <w:pPr>
        <w:widowControl/>
        <w:autoSpaceDE w:val="0"/>
        <w:autoSpaceDN w:val="0"/>
        <w:adjustRightInd w:val="0"/>
        <w:rPr>
          <w:rFonts w:ascii="Bookman Old Style" w:hAnsi="Bookman Old Style" w:cs="Arial"/>
          <w:snapToGrid/>
          <w:szCs w:val="24"/>
        </w:rPr>
      </w:pPr>
    </w:p>
    <w:p w14:paraId="2A935597" w14:textId="77777777" w:rsidR="00EF524E" w:rsidRPr="00B810B3" w:rsidRDefault="00EF524E" w:rsidP="00EF524E">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"[A]n individual may have a 'first week' of unemployment when </w:t>
      </w:r>
      <w:proofErr w:type="gramStart"/>
      <w:r w:rsidRPr="00B810B3">
        <w:rPr>
          <w:rFonts w:ascii="Bookman Old Style" w:hAnsi="Bookman Old Style" w:cs="Arial"/>
          <w:snapToGrid/>
          <w:szCs w:val="24"/>
        </w:rPr>
        <w:t xml:space="preserve">the </w:t>
      </w:r>
      <w:r>
        <w:rPr>
          <w:rFonts w:ascii="Bookman Old Style" w:hAnsi="Bookman Old Style" w:cs="Arial"/>
          <w:snapToGrid/>
          <w:szCs w:val="24"/>
        </w:rPr>
        <w:t xml:space="preserve"> </w:t>
      </w:r>
      <w:r w:rsidRPr="00B810B3">
        <w:rPr>
          <w:rFonts w:ascii="Bookman Old Style" w:hAnsi="Bookman Old Style" w:cs="Arial"/>
          <w:snapToGrid/>
          <w:szCs w:val="24"/>
        </w:rPr>
        <w:t>individual</w:t>
      </w:r>
      <w:proofErr w:type="gramEnd"/>
      <w:r w:rsidRPr="00B810B3">
        <w:rPr>
          <w:rFonts w:ascii="Bookman Old Style" w:hAnsi="Bookman Old Style" w:cs="Arial"/>
          <w:snapToGrid/>
          <w:szCs w:val="24"/>
        </w:rPr>
        <w:t xml:space="preserve"> ceases to perform services and again another 'first week' of unemployment when the employer-employee relationship is actually severed." </w:t>
      </w:r>
    </w:p>
    <w:p w14:paraId="71473F4B" w14:textId="77777777" w:rsidR="00EF524E" w:rsidRDefault="00EF524E" w:rsidP="00EF524E">
      <w:pPr>
        <w:widowControl/>
        <w:autoSpaceDE w:val="0"/>
        <w:autoSpaceDN w:val="0"/>
        <w:adjustRightInd w:val="0"/>
        <w:rPr>
          <w:rFonts w:ascii="Bookman Old Style" w:hAnsi="Bookman Old Style" w:cs="Arial"/>
          <w:snapToGrid/>
          <w:szCs w:val="24"/>
        </w:rPr>
      </w:pPr>
    </w:p>
    <w:p w14:paraId="55541E59" w14:textId="77777777" w:rsidR="00EF524E" w:rsidRDefault="00EF524E" w:rsidP="00EF524E">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r w:rsidRPr="00B810B3">
        <w:rPr>
          <w:rFonts w:ascii="Bookman Old Style" w:hAnsi="Bookman Old Style" w:cs="Arial"/>
          <w:snapToGrid/>
          <w:szCs w:val="24"/>
          <w:u w:val="single"/>
        </w:rPr>
        <w:t>Carlson</w:t>
      </w:r>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w:t>
      </w:r>
      <w:proofErr w:type="gramStart"/>
      <w:r w:rsidRPr="00B810B3">
        <w:rPr>
          <w:rFonts w:ascii="Bookman Old Style" w:hAnsi="Bookman Old Style" w:cs="Arial"/>
          <w:snapToGrid/>
          <w:szCs w:val="24"/>
        </w:rPr>
        <w:t>98</w:t>
      </w:r>
      <w:proofErr w:type="gramEnd"/>
      <w:r w:rsidRPr="00B810B3">
        <w:rPr>
          <w:rFonts w:ascii="Bookman Old Style" w:hAnsi="Bookman Old Style" w:cs="Arial"/>
          <w:snapToGrid/>
          <w:szCs w:val="24"/>
        </w:rPr>
        <w:t xml:space="preserve"> 2336, November 19, 1998</w:t>
      </w:r>
      <w:r>
        <w:rPr>
          <w:rFonts w:ascii="Bookman Old Style" w:hAnsi="Bookman Old Style" w:cs="Arial"/>
          <w:snapToGrid/>
          <w:szCs w:val="24"/>
        </w:rPr>
        <w:t>, the Commissioner held, in part:</w:t>
      </w:r>
    </w:p>
    <w:p w14:paraId="171D3126" w14:textId="77777777" w:rsidR="00EF524E" w:rsidRDefault="00EF524E" w:rsidP="00EF524E">
      <w:pPr>
        <w:widowControl/>
        <w:autoSpaceDE w:val="0"/>
        <w:autoSpaceDN w:val="0"/>
        <w:adjustRightInd w:val="0"/>
        <w:rPr>
          <w:rFonts w:ascii="Bookman Old Style" w:hAnsi="Bookman Old Style" w:cs="Arial"/>
          <w:snapToGrid/>
          <w:szCs w:val="24"/>
        </w:rPr>
      </w:pPr>
    </w:p>
    <w:p w14:paraId="55F33919" w14:textId="77777777" w:rsidR="00EF524E" w:rsidRPr="00B810B3" w:rsidRDefault="00EF524E" w:rsidP="00EF524E">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 voluntary leaving does not occur until the worker </w:t>
      </w:r>
      <w:r w:rsidRPr="00B810B3">
        <w:rPr>
          <w:rFonts w:ascii="Bookman Old Style" w:hAnsi="Bookman Old Style" w:cs="Arial"/>
          <w:bCs/>
          <w:snapToGrid/>
          <w:szCs w:val="24"/>
        </w:rPr>
        <w:t xml:space="preserve">has filed a claim for benefits </w:t>
      </w:r>
      <w:r w:rsidRPr="00B810B3">
        <w:rPr>
          <w:rFonts w:ascii="Bookman Old Style" w:hAnsi="Bookman Old Style" w:cs="Arial"/>
          <w:snapToGrid/>
          <w:szCs w:val="24"/>
        </w:rPr>
        <w:t>in the week in which the worker left work or in a subsequent week.</w:t>
      </w:r>
    </w:p>
    <w:p w14:paraId="523AFAAE" w14:textId="25BBCE74" w:rsidR="00EF524E" w:rsidRDefault="00EF524E" w:rsidP="00E54541">
      <w:pPr>
        <w:suppressAutoHyphens/>
        <w:rPr>
          <w:rFonts w:ascii="Bookman Old Style" w:hAnsi="Bookman Old Style"/>
          <w:spacing w:val="-3"/>
          <w:szCs w:val="24"/>
        </w:rPr>
      </w:pPr>
    </w:p>
    <w:p w14:paraId="30EBEEC4" w14:textId="32FA701A" w:rsidR="00EF524E" w:rsidRDefault="009D64FB" w:rsidP="00E54541">
      <w:pPr>
        <w:suppressAutoHyphens/>
        <w:rPr>
          <w:rFonts w:ascii="Bookman Old Style" w:hAnsi="Bookman Old Style"/>
          <w:spacing w:val="-3"/>
          <w:szCs w:val="24"/>
        </w:rPr>
      </w:pPr>
      <w:r>
        <w:rPr>
          <w:rFonts w:ascii="Bookman Old Style" w:hAnsi="Bookman Old Style"/>
          <w:spacing w:val="-3"/>
          <w:szCs w:val="24"/>
        </w:rPr>
        <w:t xml:space="preserve">As in </w:t>
      </w:r>
      <w:proofErr w:type="spellStart"/>
      <w:r w:rsidRPr="009D64FB">
        <w:rPr>
          <w:rFonts w:ascii="Bookman Old Style" w:hAnsi="Bookman Old Style"/>
          <w:spacing w:val="-3"/>
          <w:szCs w:val="24"/>
          <w:u w:val="single"/>
        </w:rPr>
        <w:t>Alcant</w:t>
      </w:r>
      <w:r w:rsidR="006B1D47">
        <w:rPr>
          <w:rFonts w:ascii="Bookman Old Style" w:hAnsi="Bookman Old Style"/>
          <w:spacing w:val="-3"/>
          <w:szCs w:val="24"/>
          <w:u w:val="single"/>
        </w:rPr>
        <w:t>r</w:t>
      </w:r>
      <w:r w:rsidRPr="009D64FB">
        <w:rPr>
          <w:rFonts w:ascii="Bookman Old Style" w:hAnsi="Bookman Old Style"/>
          <w:spacing w:val="-3"/>
          <w:szCs w:val="24"/>
          <w:u w:val="single"/>
        </w:rPr>
        <w:t>a</w:t>
      </w:r>
      <w:proofErr w:type="spellEnd"/>
      <w:r>
        <w:rPr>
          <w:rFonts w:ascii="Bookman Old Style" w:hAnsi="Bookman Old Style"/>
          <w:spacing w:val="-3"/>
          <w:szCs w:val="24"/>
        </w:rPr>
        <w:t>, t</w:t>
      </w:r>
      <w:r w:rsidR="00EF524E">
        <w:rPr>
          <w:rFonts w:ascii="Bookman Old Style" w:hAnsi="Bookman Old Style"/>
          <w:spacing w:val="-3"/>
          <w:szCs w:val="24"/>
        </w:rPr>
        <w:t xml:space="preserve">he claimant in this case </w:t>
      </w:r>
      <w:r>
        <w:rPr>
          <w:rFonts w:ascii="Bookman Old Style" w:hAnsi="Bookman Old Style"/>
          <w:spacing w:val="-3"/>
          <w:szCs w:val="24"/>
        </w:rPr>
        <w:t>separat</w:t>
      </w:r>
      <w:r w:rsidR="007A74D3">
        <w:rPr>
          <w:rFonts w:ascii="Bookman Old Style" w:hAnsi="Bookman Old Style"/>
          <w:spacing w:val="-3"/>
          <w:szCs w:val="24"/>
        </w:rPr>
        <w:t xml:space="preserve">ed </w:t>
      </w:r>
      <w:r>
        <w:rPr>
          <w:rFonts w:ascii="Bookman Old Style" w:hAnsi="Bookman Old Style"/>
          <w:spacing w:val="-3"/>
          <w:szCs w:val="24"/>
        </w:rPr>
        <w:t>from work</w:t>
      </w:r>
      <w:r w:rsidR="00EF524E">
        <w:rPr>
          <w:rFonts w:ascii="Bookman Old Style" w:hAnsi="Bookman Old Style"/>
          <w:spacing w:val="-3"/>
          <w:szCs w:val="24"/>
        </w:rPr>
        <w:t xml:space="preserve"> in the week ending November 17, 2020 when she began her leave of absence and established her claim for benefits. A second separation occurred on November 30, 2020 when the </w:t>
      </w:r>
      <w:r w:rsidR="00EF524E">
        <w:rPr>
          <w:rFonts w:ascii="Bookman Old Style" w:hAnsi="Bookman Old Style"/>
          <w:spacing w:val="-3"/>
          <w:szCs w:val="24"/>
        </w:rPr>
        <w:lastRenderedPageBreak/>
        <w:t xml:space="preserve">claimant told her supervisor to terminate her instead of taking </w:t>
      </w:r>
      <w:r w:rsidR="006B1D47">
        <w:rPr>
          <w:rFonts w:ascii="Bookman Old Style" w:hAnsi="Bookman Old Style"/>
          <w:spacing w:val="-3"/>
          <w:szCs w:val="24"/>
        </w:rPr>
        <w:t xml:space="preserve">actions recommended by the employer </w:t>
      </w:r>
      <w:r w:rsidR="00EF524E">
        <w:rPr>
          <w:rFonts w:ascii="Bookman Old Style" w:hAnsi="Bookman Old Style"/>
          <w:spacing w:val="-3"/>
          <w:szCs w:val="24"/>
        </w:rPr>
        <w:t xml:space="preserve">to preserve her employment. </w:t>
      </w:r>
    </w:p>
    <w:p w14:paraId="3EEA4EC3" w14:textId="77777777" w:rsidR="003F334B" w:rsidRDefault="003F334B" w:rsidP="00E54541">
      <w:pPr>
        <w:suppressAutoHyphens/>
        <w:rPr>
          <w:rFonts w:ascii="Bookman Old Style" w:hAnsi="Bookman Old Style"/>
          <w:spacing w:val="-3"/>
          <w:szCs w:val="24"/>
        </w:rPr>
      </w:pPr>
    </w:p>
    <w:p w14:paraId="5C8723D4" w14:textId="115E0139"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5E61B315" w14:textId="6520227D" w:rsidR="00282408" w:rsidRDefault="00282408" w:rsidP="00E54541">
      <w:pPr>
        <w:suppressAutoHyphens/>
        <w:rPr>
          <w:rFonts w:ascii="Bookman Old Style" w:hAnsi="Bookman Old Style"/>
          <w:spacing w:val="-3"/>
          <w:szCs w:val="24"/>
        </w:rPr>
      </w:pPr>
    </w:p>
    <w:p w14:paraId="53461CBF" w14:textId="0AA0D52E" w:rsidR="007149F1" w:rsidRDefault="00282408" w:rsidP="00E54541">
      <w:pPr>
        <w:suppressAutoHyphens/>
        <w:rPr>
          <w:rFonts w:ascii="Bookman Old Style" w:hAnsi="Bookman Old Style"/>
          <w:spacing w:val="-3"/>
          <w:szCs w:val="24"/>
        </w:rPr>
      </w:pPr>
      <w:r>
        <w:rPr>
          <w:rFonts w:ascii="Bookman Old Style" w:hAnsi="Bookman Old Style"/>
          <w:spacing w:val="-3"/>
          <w:szCs w:val="24"/>
        </w:rPr>
        <w:t xml:space="preserve">The </w:t>
      </w:r>
      <w:r w:rsidR="007149F1">
        <w:rPr>
          <w:rFonts w:ascii="Bookman Old Style" w:hAnsi="Bookman Old Style"/>
          <w:spacing w:val="-3"/>
          <w:szCs w:val="24"/>
        </w:rPr>
        <w:t xml:space="preserve">employer took the action </w:t>
      </w:r>
      <w:r w:rsidR="0033240A">
        <w:rPr>
          <w:rFonts w:ascii="Bookman Old Style" w:hAnsi="Bookman Old Style"/>
          <w:spacing w:val="-3"/>
          <w:szCs w:val="24"/>
        </w:rPr>
        <w:t xml:space="preserve">that led to the first separation when it </w:t>
      </w:r>
      <w:r w:rsidR="007A74D3">
        <w:rPr>
          <w:rFonts w:ascii="Bookman Old Style" w:hAnsi="Bookman Old Style"/>
          <w:spacing w:val="-3"/>
          <w:szCs w:val="24"/>
        </w:rPr>
        <w:t xml:space="preserve">placed the claimant on a leave of absence because the claimant did not have a current fitness card and the employer could not allow her to work without the card. The first separation is a discharge, so the Tribunal will consider if the claimant was discharged for work-related misconduct. </w:t>
      </w:r>
    </w:p>
    <w:p w14:paraId="768CF2AC" w14:textId="1846B808" w:rsidR="007A74D3" w:rsidRDefault="007A74D3" w:rsidP="00E54541">
      <w:pPr>
        <w:suppressAutoHyphens/>
        <w:rPr>
          <w:rFonts w:ascii="Bookman Old Style" w:hAnsi="Bookman Old Style"/>
          <w:spacing w:val="-3"/>
          <w:szCs w:val="24"/>
        </w:rPr>
      </w:pPr>
    </w:p>
    <w:p w14:paraId="6C0ED502" w14:textId="0A80085E" w:rsidR="007A74D3" w:rsidRDefault="007A74D3" w:rsidP="00E54541">
      <w:pPr>
        <w:suppressAutoHyphens/>
        <w:rPr>
          <w:rFonts w:ascii="Bookman Old Style" w:hAnsi="Bookman Old Style"/>
          <w:spacing w:val="-3"/>
          <w:szCs w:val="24"/>
        </w:rPr>
      </w:pPr>
      <w:r>
        <w:rPr>
          <w:rFonts w:ascii="Bookman Old Style" w:hAnsi="Bookman Old Style"/>
          <w:spacing w:val="-3"/>
          <w:szCs w:val="24"/>
        </w:rPr>
        <w:t xml:space="preserve">The claimant </w:t>
      </w:r>
      <w:r w:rsidR="00706D74">
        <w:rPr>
          <w:rFonts w:ascii="Bookman Old Style" w:hAnsi="Bookman Old Style"/>
          <w:spacing w:val="-3"/>
          <w:szCs w:val="24"/>
        </w:rPr>
        <w:t xml:space="preserve">was placed on leave </w:t>
      </w:r>
      <w:r w:rsidR="00EB62BC">
        <w:rPr>
          <w:rFonts w:ascii="Bookman Old Style" w:hAnsi="Bookman Old Style"/>
          <w:spacing w:val="-3"/>
          <w:szCs w:val="24"/>
        </w:rPr>
        <w:t xml:space="preserve">by the employer </w:t>
      </w:r>
      <w:r w:rsidR="00706D74">
        <w:rPr>
          <w:rFonts w:ascii="Bookman Old Style" w:hAnsi="Bookman Old Style"/>
          <w:spacing w:val="-3"/>
          <w:szCs w:val="24"/>
        </w:rPr>
        <w:t xml:space="preserve">because she did not pass a medical test, related to the requirement to use her CPAP machine for at least four hours per night.  The Tribunal cannot conclude that the claimant’s actions </w:t>
      </w:r>
      <w:r w:rsidR="0033240A">
        <w:rPr>
          <w:rFonts w:ascii="Bookman Old Style" w:hAnsi="Bookman Old Style"/>
          <w:spacing w:val="-3"/>
          <w:szCs w:val="24"/>
        </w:rPr>
        <w:t xml:space="preserve">in this case </w:t>
      </w:r>
      <w:r w:rsidR="00706D74">
        <w:rPr>
          <w:rFonts w:ascii="Bookman Old Style" w:hAnsi="Bookman Old Style"/>
          <w:spacing w:val="-3"/>
          <w:szCs w:val="24"/>
        </w:rPr>
        <w:t xml:space="preserve">were a </w:t>
      </w:r>
      <w:r w:rsidR="0033240A">
        <w:rPr>
          <w:rFonts w:ascii="Bookman Old Style" w:hAnsi="Bookman Old Style"/>
          <w:spacing w:val="-3"/>
          <w:szCs w:val="24"/>
        </w:rPr>
        <w:t xml:space="preserve">willful disregard of the employer’s interests. </w:t>
      </w:r>
      <w:r w:rsidR="00EB62BC">
        <w:rPr>
          <w:rFonts w:ascii="Bookman Old Style" w:hAnsi="Bookman Old Style"/>
          <w:spacing w:val="-3"/>
          <w:szCs w:val="24"/>
        </w:rPr>
        <w:t xml:space="preserve">While failure to comply with medical instructions </w:t>
      </w:r>
      <w:r w:rsidR="006B1D47">
        <w:rPr>
          <w:rFonts w:ascii="Bookman Old Style" w:hAnsi="Bookman Old Style"/>
          <w:spacing w:val="-3"/>
          <w:szCs w:val="24"/>
        </w:rPr>
        <w:t>may</w:t>
      </w:r>
      <w:r w:rsidR="00EB62BC">
        <w:rPr>
          <w:rFonts w:ascii="Bookman Old Style" w:hAnsi="Bookman Old Style"/>
          <w:spacing w:val="-3"/>
          <w:szCs w:val="24"/>
        </w:rPr>
        <w:t xml:space="preserve"> be a disregard of the claimant’s </w:t>
      </w:r>
      <w:r w:rsidR="00427351">
        <w:rPr>
          <w:rFonts w:ascii="Bookman Old Style" w:hAnsi="Bookman Old Style"/>
          <w:spacing w:val="-3"/>
          <w:szCs w:val="24"/>
        </w:rPr>
        <w:t xml:space="preserve">own </w:t>
      </w:r>
      <w:r w:rsidR="00EB62BC">
        <w:rPr>
          <w:rFonts w:ascii="Bookman Old Style" w:hAnsi="Bookman Old Style"/>
          <w:spacing w:val="-3"/>
          <w:szCs w:val="24"/>
        </w:rPr>
        <w:t xml:space="preserve">interests, it has not been shown that the claimant deliberately </w:t>
      </w:r>
      <w:r w:rsidR="005445AE">
        <w:rPr>
          <w:rFonts w:ascii="Bookman Old Style" w:hAnsi="Bookman Old Style"/>
          <w:spacing w:val="-3"/>
          <w:szCs w:val="24"/>
        </w:rPr>
        <w:t>failed to comply</w:t>
      </w:r>
      <w:r w:rsidR="006B1D47">
        <w:rPr>
          <w:rFonts w:ascii="Bookman Old Style" w:hAnsi="Bookman Old Style"/>
          <w:spacing w:val="-3"/>
          <w:szCs w:val="24"/>
        </w:rPr>
        <w:t xml:space="preserve"> with the medical instructions</w:t>
      </w:r>
      <w:r w:rsidR="005445AE">
        <w:rPr>
          <w:rFonts w:ascii="Bookman Old Style" w:hAnsi="Bookman Old Style"/>
          <w:spacing w:val="-3"/>
          <w:szCs w:val="24"/>
        </w:rPr>
        <w:t xml:space="preserve"> with the knowledge that her job would be in jeopardy</w:t>
      </w:r>
      <w:r w:rsidR="00427351">
        <w:rPr>
          <w:rFonts w:ascii="Bookman Old Style" w:hAnsi="Bookman Old Style"/>
          <w:spacing w:val="-3"/>
          <w:szCs w:val="24"/>
        </w:rPr>
        <w:t xml:space="preserve"> </w:t>
      </w:r>
      <w:proofErr w:type="gramStart"/>
      <w:r w:rsidR="00427351">
        <w:rPr>
          <w:rFonts w:ascii="Bookman Old Style" w:hAnsi="Bookman Old Style"/>
          <w:spacing w:val="-3"/>
          <w:szCs w:val="24"/>
        </w:rPr>
        <w:t>as a result of</w:t>
      </w:r>
      <w:proofErr w:type="gramEnd"/>
      <w:r w:rsidR="00427351">
        <w:rPr>
          <w:rFonts w:ascii="Bookman Old Style" w:hAnsi="Bookman Old Style"/>
          <w:spacing w:val="-3"/>
          <w:szCs w:val="24"/>
        </w:rPr>
        <w:t xml:space="preserve"> her actions</w:t>
      </w:r>
      <w:r w:rsidR="005445AE">
        <w:rPr>
          <w:rFonts w:ascii="Bookman Old Style" w:hAnsi="Bookman Old Style"/>
          <w:spacing w:val="-3"/>
          <w:szCs w:val="24"/>
        </w:rPr>
        <w:t xml:space="preserve">. </w:t>
      </w:r>
      <w:r w:rsidR="00427351">
        <w:rPr>
          <w:rFonts w:ascii="Bookman Old Style" w:hAnsi="Bookman Old Style"/>
          <w:spacing w:val="-3"/>
          <w:szCs w:val="24"/>
        </w:rPr>
        <w:t xml:space="preserve">Because the claimant was discharged for </w:t>
      </w:r>
      <w:r w:rsidR="006B1D47">
        <w:rPr>
          <w:rFonts w:ascii="Bookman Old Style" w:hAnsi="Bookman Old Style"/>
          <w:spacing w:val="-3"/>
          <w:szCs w:val="24"/>
        </w:rPr>
        <w:t xml:space="preserve">reasons other than </w:t>
      </w:r>
      <w:r w:rsidR="00427351">
        <w:rPr>
          <w:rFonts w:ascii="Bookman Old Style" w:hAnsi="Bookman Old Style"/>
          <w:spacing w:val="-3"/>
          <w:szCs w:val="24"/>
        </w:rPr>
        <w:t>misconduct related to the work, t</w:t>
      </w:r>
      <w:r w:rsidR="005445AE">
        <w:rPr>
          <w:rFonts w:ascii="Bookman Old Style" w:hAnsi="Bookman Old Style"/>
          <w:spacing w:val="-3"/>
          <w:szCs w:val="24"/>
        </w:rPr>
        <w:t>he Tribunal finds the penalties of AS 23.20.379 are not appropriate for th</w:t>
      </w:r>
      <w:r w:rsidR="006B1D47">
        <w:rPr>
          <w:rFonts w:ascii="Bookman Old Style" w:hAnsi="Bookman Old Style"/>
          <w:spacing w:val="-3"/>
          <w:szCs w:val="24"/>
        </w:rPr>
        <w:t>e</w:t>
      </w:r>
      <w:r w:rsidR="005445AE">
        <w:rPr>
          <w:rFonts w:ascii="Bookman Old Style" w:hAnsi="Bookman Old Style"/>
          <w:spacing w:val="-3"/>
          <w:szCs w:val="24"/>
        </w:rPr>
        <w:t xml:space="preserve"> </w:t>
      </w:r>
      <w:r w:rsidR="00427351">
        <w:rPr>
          <w:rFonts w:ascii="Bookman Old Style" w:hAnsi="Bookman Old Style"/>
          <w:spacing w:val="-3"/>
          <w:szCs w:val="24"/>
        </w:rPr>
        <w:t xml:space="preserve">first </w:t>
      </w:r>
      <w:r w:rsidR="005445AE">
        <w:rPr>
          <w:rFonts w:ascii="Bookman Old Style" w:hAnsi="Bookman Old Style"/>
          <w:spacing w:val="-3"/>
          <w:szCs w:val="24"/>
        </w:rPr>
        <w:t>separation.</w:t>
      </w:r>
    </w:p>
    <w:p w14:paraId="20F0CE78" w14:textId="77777777" w:rsidR="007A74D3" w:rsidRDefault="007A74D3" w:rsidP="00E54541">
      <w:pPr>
        <w:suppressAutoHyphens/>
        <w:rPr>
          <w:rFonts w:ascii="Bookman Old Style" w:hAnsi="Bookman Old Style"/>
          <w:spacing w:val="-3"/>
          <w:szCs w:val="24"/>
        </w:rPr>
      </w:pPr>
    </w:p>
    <w:p w14:paraId="1CD80AE6" w14:textId="397500A0" w:rsidR="00282408" w:rsidRDefault="0033240A" w:rsidP="00E54541">
      <w:pPr>
        <w:suppressAutoHyphens/>
        <w:rPr>
          <w:rFonts w:ascii="Bookman Old Style" w:hAnsi="Bookman Old Style"/>
          <w:spacing w:val="-3"/>
          <w:szCs w:val="24"/>
        </w:rPr>
      </w:pPr>
      <w:r>
        <w:rPr>
          <w:rFonts w:ascii="Bookman Old Style" w:hAnsi="Bookman Old Style"/>
          <w:spacing w:val="-3"/>
          <w:szCs w:val="24"/>
        </w:rPr>
        <w:t>The claimant took the action that led to the second separation</w:t>
      </w:r>
      <w:r w:rsidR="00282408">
        <w:rPr>
          <w:rFonts w:ascii="Bookman Old Style" w:hAnsi="Bookman Old Style"/>
          <w:spacing w:val="-3"/>
          <w:szCs w:val="24"/>
        </w:rPr>
        <w:t xml:space="preserve"> when she told her supervisor to terminate her rather than </w:t>
      </w:r>
      <w:r>
        <w:rPr>
          <w:rFonts w:ascii="Bookman Old Style" w:hAnsi="Bookman Old Style"/>
          <w:spacing w:val="-3"/>
          <w:szCs w:val="24"/>
        </w:rPr>
        <w:t>considering the employer’s options</w:t>
      </w:r>
      <w:r w:rsidR="00282408">
        <w:rPr>
          <w:rFonts w:ascii="Bookman Old Style" w:hAnsi="Bookman Old Style"/>
          <w:spacing w:val="-3"/>
          <w:szCs w:val="24"/>
        </w:rPr>
        <w:t xml:space="preserve"> that could have preserved her employment.  </w:t>
      </w:r>
      <w:r w:rsidR="00427351">
        <w:rPr>
          <w:rFonts w:ascii="Bookman Old Style" w:hAnsi="Bookman Old Style"/>
          <w:spacing w:val="-3"/>
          <w:szCs w:val="24"/>
        </w:rPr>
        <w:t xml:space="preserve">The Tribunal finds the second separation occurred on November 30, 2020 and was a voluntarily quit. The Tribunal will consider if the claimant had good cause to quit work. </w:t>
      </w:r>
    </w:p>
    <w:p w14:paraId="3590DF9F" w14:textId="11DFA25E" w:rsidR="00CF1306" w:rsidRDefault="00CF1306" w:rsidP="00E54541">
      <w:pPr>
        <w:suppressAutoHyphens/>
        <w:rPr>
          <w:rFonts w:ascii="Bookman Old Style" w:hAnsi="Bookman Old Style"/>
          <w:spacing w:val="-3"/>
          <w:szCs w:val="24"/>
        </w:rPr>
      </w:pPr>
    </w:p>
    <w:p w14:paraId="78D509D0" w14:textId="231D1B88" w:rsidR="00282408" w:rsidRDefault="00282408" w:rsidP="00282408">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w:t>
      </w:r>
      <w:r w:rsidR="006B1D47">
        <w:rPr>
          <w:rFonts w:ascii="Bookman Old Style" w:hAnsi="Bookman Old Style"/>
          <w:spacing w:val="-3"/>
        </w:rPr>
        <w:t>that a claimant may have good cause to voluntarily quit work when she does so because of a disability or illness that prevents the claimant from performing the duties required for the work</w:t>
      </w:r>
      <w:r>
        <w:rPr>
          <w:rFonts w:ascii="Bookman Old Style" w:hAnsi="Bookman Old Style"/>
          <w:spacing w:val="-3"/>
        </w:rPr>
        <w:t xml:space="preserve">.  </w:t>
      </w:r>
    </w:p>
    <w:p w14:paraId="1FE65F4F" w14:textId="77777777" w:rsidR="00282408" w:rsidRDefault="00282408" w:rsidP="00282408">
      <w:pPr>
        <w:suppressAutoHyphens/>
        <w:spacing w:line="264" w:lineRule="auto"/>
        <w:rPr>
          <w:rFonts w:ascii="Bookman Old Style" w:hAnsi="Bookman Old Style"/>
          <w:spacing w:val="-3"/>
        </w:rPr>
      </w:pPr>
    </w:p>
    <w:p w14:paraId="63E31F28" w14:textId="77777777" w:rsidR="00282408" w:rsidRDefault="00282408" w:rsidP="00282408">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1B2F29FC" w14:textId="3CDE3089" w:rsidR="00282408" w:rsidRDefault="00282408" w:rsidP="00282408">
      <w:pPr>
        <w:rPr>
          <w:rFonts w:ascii="Bookman Old Style" w:hAnsi="Bookman Old Style"/>
          <w:szCs w:val="24"/>
        </w:rPr>
      </w:pPr>
    </w:p>
    <w:p w14:paraId="32F8CBFD" w14:textId="77777777" w:rsidR="00427351" w:rsidRPr="00E1187D" w:rsidRDefault="00427351" w:rsidP="00282408">
      <w:pPr>
        <w:rPr>
          <w:rFonts w:ascii="Bookman Old Style" w:hAnsi="Bookman Old Style"/>
          <w:szCs w:val="24"/>
        </w:rPr>
      </w:pPr>
    </w:p>
    <w:p w14:paraId="7B6A63F6" w14:textId="77777777" w:rsidR="00282408" w:rsidRPr="004A3290" w:rsidRDefault="00282408" w:rsidP="00282408">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w:t>
      </w:r>
      <w:r w:rsidRPr="004A3290">
        <w:rPr>
          <w:rFonts w:ascii="Bookman Old Style" w:hAnsi="Bookman Old Style"/>
          <w:i/>
          <w:szCs w:val="24"/>
        </w:rPr>
        <w:lastRenderedPageBreak/>
        <w:t xml:space="preserve">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4B64AE30" w14:textId="0E900B2C" w:rsidR="00CF1306" w:rsidRDefault="00CF1306" w:rsidP="00E54541">
      <w:pPr>
        <w:suppressAutoHyphens/>
        <w:rPr>
          <w:rFonts w:ascii="Bookman Old Style" w:hAnsi="Bookman Old Style"/>
          <w:spacing w:val="-3"/>
          <w:szCs w:val="24"/>
        </w:rPr>
      </w:pPr>
    </w:p>
    <w:p w14:paraId="4709454A" w14:textId="2EB5EDEC" w:rsidR="0033240A" w:rsidRPr="00E54541" w:rsidRDefault="00EB62BC" w:rsidP="00E54541">
      <w:pPr>
        <w:suppressAutoHyphens/>
        <w:rPr>
          <w:rFonts w:ascii="Bookman Old Style" w:hAnsi="Bookman Old Style"/>
          <w:spacing w:val="-3"/>
          <w:szCs w:val="24"/>
        </w:rPr>
      </w:pPr>
      <w:r>
        <w:rPr>
          <w:rFonts w:ascii="Bookman Old Style" w:hAnsi="Bookman Old Style"/>
          <w:spacing w:val="-3"/>
          <w:szCs w:val="24"/>
        </w:rPr>
        <w:t>The employer offered the claimant the reasonable alternative to take a medical leave of absence to preserve her employment and the claimant refused.   The Tribunal cannot find the claimant had good cause to voluntarily leave the work at the time she did</w:t>
      </w:r>
      <w:r w:rsidR="005445AE">
        <w:rPr>
          <w:rFonts w:ascii="Bookman Old Style" w:hAnsi="Bookman Old Style"/>
          <w:spacing w:val="-3"/>
          <w:szCs w:val="24"/>
        </w:rPr>
        <w:t xml:space="preserve">. The penalties of AS 23.20.379 are appropriate in this instance. </w:t>
      </w:r>
    </w:p>
    <w:p w14:paraId="47766058" w14:textId="77777777" w:rsidR="005A281D" w:rsidRPr="00E54541" w:rsidRDefault="005A281D" w:rsidP="00E54541">
      <w:pPr>
        <w:tabs>
          <w:tab w:val="left" w:pos="-1440"/>
          <w:tab w:val="left" w:pos="-720"/>
        </w:tabs>
        <w:rPr>
          <w:rFonts w:ascii="Bookman Old Style" w:hAnsi="Bookman Old Style"/>
          <w:szCs w:val="24"/>
        </w:rPr>
      </w:pPr>
    </w:p>
    <w:p w14:paraId="235AF22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73078D83" w14:textId="77777777" w:rsidR="005A281D" w:rsidRPr="00E54541" w:rsidRDefault="005A281D" w:rsidP="00E54541">
      <w:pPr>
        <w:tabs>
          <w:tab w:val="left" w:pos="-1440"/>
          <w:tab w:val="left" w:pos="-720"/>
        </w:tabs>
        <w:rPr>
          <w:rFonts w:ascii="Bookman Old Style" w:hAnsi="Bookman Old Style"/>
          <w:szCs w:val="24"/>
        </w:rPr>
      </w:pPr>
    </w:p>
    <w:p w14:paraId="03CCDD45" w14:textId="6E5086EB"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EB62BC">
        <w:rPr>
          <w:rFonts w:ascii="Bookman Old Style" w:hAnsi="Bookman Old Style"/>
          <w:szCs w:val="24"/>
        </w:rPr>
        <w:t xml:space="preserve">December 23, 2020 and holding the claimant voluntarily quit work on October </w:t>
      </w:r>
      <w:r w:rsidR="0013401E">
        <w:rPr>
          <w:rFonts w:ascii="Bookman Old Style" w:hAnsi="Bookman Old Style"/>
          <w:szCs w:val="24"/>
        </w:rPr>
        <w:t>9</w:t>
      </w:r>
      <w:r w:rsidR="00EB62BC">
        <w:rPr>
          <w:rFonts w:ascii="Bookman Old Style" w:hAnsi="Bookman Old Style"/>
          <w:szCs w:val="24"/>
        </w:rPr>
        <w:t>, 2020</w:t>
      </w:r>
      <w:r w:rsidRPr="00E1431E">
        <w:rPr>
          <w:rFonts w:ascii="Bookman Old Style" w:hAnsi="Bookman Old Style"/>
        </w:rPr>
        <w:t xml:space="preserve"> is </w:t>
      </w:r>
      <w:r w:rsidR="00EB62BC">
        <w:rPr>
          <w:rFonts w:ascii="Bookman Old Style" w:hAnsi="Bookman Old Style"/>
          <w:b/>
          <w:szCs w:val="24"/>
        </w:rPr>
        <w:t xml:space="preserve">MODIFIED </w:t>
      </w:r>
      <w:r w:rsidR="00EB62BC" w:rsidRPr="00EB62BC">
        <w:rPr>
          <w:rFonts w:ascii="Bookman Old Style" w:hAnsi="Bookman Old Style"/>
          <w:bCs/>
          <w:szCs w:val="24"/>
        </w:rPr>
        <w:t>and</w:t>
      </w:r>
      <w:r w:rsidR="00EB62BC">
        <w:rPr>
          <w:rFonts w:ascii="Bookman Old Style" w:hAnsi="Bookman Old Style"/>
          <w:b/>
          <w:szCs w:val="24"/>
        </w:rPr>
        <w:t xml:space="preserve"> 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0013401E">
        <w:rPr>
          <w:rFonts w:ascii="Bookman Old Style" w:hAnsi="Bookman Old Style"/>
          <w:b/>
        </w:rPr>
        <w:t xml:space="preserve"> </w:t>
      </w:r>
      <w:r w:rsidR="0013401E" w:rsidRPr="0013401E">
        <w:rPr>
          <w:rFonts w:ascii="Bookman Old Style" w:hAnsi="Bookman Old Style"/>
          <w:bCs/>
        </w:rPr>
        <w:t>under AS 23.20.379(a)(2)</w:t>
      </w:r>
      <w:r w:rsidRPr="00DC77EC">
        <w:rPr>
          <w:rFonts w:ascii="Bookman Old Style" w:hAnsi="Bookman Old Style"/>
        </w:rPr>
        <w:t xml:space="preserve"> </w:t>
      </w:r>
      <w:r w:rsidRPr="00E1431E">
        <w:rPr>
          <w:rFonts w:ascii="Bookman Old Style" w:hAnsi="Bookman Old Style"/>
        </w:rPr>
        <w:t xml:space="preserve">for the weeks ending </w:t>
      </w:r>
      <w:r w:rsidR="005445AE">
        <w:rPr>
          <w:rFonts w:ascii="Bookman Old Style" w:hAnsi="Bookman Old Style"/>
          <w:szCs w:val="24"/>
        </w:rPr>
        <w:t>October 17, 2020 through November 21,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65514B26" w14:textId="77777777" w:rsidR="00E54541" w:rsidRDefault="00E54541" w:rsidP="00E54541">
      <w:pPr>
        <w:tabs>
          <w:tab w:val="left" w:pos="-1440"/>
          <w:tab w:val="left" w:pos="-720"/>
        </w:tabs>
        <w:suppressAutoHyphens/>
        <w:ind w:right="-360"/>
        <w:rPr>
          <w:rFonts w:ascii="Bookman Old Style" w:hAnsi="Bookman Old Style"/>
        </w:rPr>
      </w:pPr>
    </w:p>
    <w:p w14:paraId="7ABCDBA6" w14:textId="61672C38"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445AE">
        <w:rPr>
          <w:rFonts w:ascii="Bookman Old Style" w:hAnsi="Bookman Old Style"/>
          <w:szCs w:val="24"/>
        </w:rPr>
        <w:t>December 23, 2020 and holding the claimant voluntarily quit work on November 18, 2020</w:t>
      </w:r>
      <w:r w:rsidRPr="00E1431E">
        <w:rPr>
          <w:rFonts w:ascii="Bookman Old Style" w:hAnsi="Bookman Old Style"/>
        </w:rPr>
        <w:t xml:space="preserve"> is </w:t>
      </w:r>
      <w:r w:rsidR="005445AE">
        <w:rPr>
          <w:rFonts w:ascii="Bookman Old Style" w:hAnsi="Bookman Old Style"/>
          <w:b/>
          <w:szCs w:val="24"/>
        </w:rPr>
        <w:t xml:space="preserve">AFFIRMED </w:t>
      </w:r>
      <w:r w:rsidR="005445AE" w:rsidRPr="005445AE">
        <w:rPr>
          <w:rFonts w:ascii="Bookman Old Style" w:hAnsi="Bookman Old Style"/>
          <w:bCs/>
          <w:szCs w:val="24"/>
        </w:rPr>
        <w:t>and</w:t>
      </w:r>
      <w:r w:rsidR="005445AE">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w:t>
      </w:r>
      <w:r w:rsidR="0013401E">
        <w:rPr>
          <w:rFonts w:ascii="Bookman Old Style" w:hAnsi="Bookman Old Style"/>
        </w:rPr>
        <w:t>are</w:t>
      </w:r>
      <w:r w:rsidRPr="00E1431E">
        <w:rPr>
          <w:rFonts w:ascii="Bookman Old Style" w:hAnsi="Bookman Old Style"/>
        </w:rPr>
        <w:t xml:space="preserve"> </w:t>
      </w:r>
      <w:r w:rsidRPr="00415DE7">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5445AE">
        <w:rPr>
          <w:rFonts w:ascii="Bookman Old Style" w:hAnsi="Bookman Old Style"/>
          <w:szCs w:val="24"/>
        </w:rPr>
        <w:t>December 5, 2020 through</w:t>
      </w:r>
      <w:r w:rsidR="0013401E">
        <w:rPr>
          <w:rFonts w:ascii="Bookman Old Style" w:hAnsi="Bookman Old Style"/>
          <w:szCs w:val="24"/>
        </w:rPr>
        <w:t xml:space="preserve">        </w:t>
      </w:r>
      <w:r w:rsidR="005445AE">
        <w:rPr>
          <w:rFonts w:ascii="Bookman Old Style" w:hAnsi="Bookman Old Style"/>
          <w:szCs w:val="24"/>
        </w:rPr>
        <w:t xml:space="preserve"> January 9, 2021, reflecting that the claimant </w:t>
      </w:r>
      <w:r w:rsidR="0013401E">
        <w:rPr>
          <w:rFonts w:ascii="Bookman Old Style" w:hAnsi="Bookman Old Style"/>
          <w:szCs w:val="24"/>
        </w:rPr>
        <w:t>severed the working relationship on November 30, 2020</w:t>
      </w:r>
      <w:r w:rsidRPr="00E1431E">
        <w:rPr>
          <w:rFonts w:ascii="Bookman Old Style" w:hAnsi="Bookman Old Style"/>
        </w:rPr>
        <w:t xml:space="preserve">. The three weeks </w:t>
      </w:r>
      <w:r w:rsidR="0013401E">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3A437042" w14:textId="77777777" w:rsidR="005A281D" w:rsidRPr="00E54541" w:rsidRDefault="005A281D" w:rsidP="00E54541">
      <w:pPr>
        <w:tabs>
          <w:tab w:val="left" w:pos="-1440"/>
          <w:tab w:val="left" w:pos="-720"/>
        </w:tabs>
        <w:rPr>
          <w:rFonts w:ascii="Bookman Old Style" w:hAnsi="Bookman Old Style"/>
          <w:szCs w:val="24"/>
        </w:rPr>
      </w:pPr>
    </w:p>
    <w:p w14:paraId="48365EAE"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68DB16B8" w14:textId="77777777" w:rsidR="005A281D" w:rsidRPr="00E54541" w:rsidRDefault="005A281D" w:rsidP="00E54541">
      <w:pPr>
        <w:tabs>
          <w:tab w:val="left" w:pos="-1440"/>
          <w:tab w:val="left" w:pos="-720"/>
        </w:tabs>
        <w:rPr>
          <w:rFonts w:ascii="Bookman Old Style" w:hAnsi="Bookman Old Style"/>
          <w:szCs w:val="24"/>
        </w:rPr>
      </w:pPr>
    </w:p>
    <w:p w14:paraId="3803850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A145FB8" w14:textId="77777777" w:rsidR="005A281D" w:rsidRPr="00E54541" w:rsidRDefault="005A281D" w:rsidP="00E54541">
      <w:pPr>
        <w:tabs>
          <w:tab w:val="left" w:pos="-1440"/>
          <w:tab w:val="left" w:pos="-720"/>
        </w:tabs>
        <w:rPr>
          <w:rFonts w:ascii="Bookman Old Style" w:hAnsi="Bookman Old Style"/>
          <w:szCs w:val="24"/>
        </w:rPr>
      </w:pPr>
    </w:p>
    <w:p w14:paraId="7AA91CC9" w14:textId="2EE9D605"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13401E">
        <w:rPr>
          <w:rFonts w:ascii="Bookman Old Style" w:hAnsi="Bookman Old Style"/>
          <w:szCs w:val="24"/>
        </w:rPr>
        <w:t>May 28, 2021</w:t>
      </w:r>
      <w:r w:rsidR="005A281D" w:rsidRPr="00E54541">
        <w:rPr>
          <w:rFonts w:ascii="Bookman Old Style" w:hAnsi="Bookman Old Style"/>
          <w:szCs w:val="24"/>
        </w:rPr>
        <w:t>.</w:t>
      </w:r>
    </w:p>
    <w:p w14:paraId="44C25078" w14:textId="77777777" w:rsidR="005A281D" w:rsidRPr="00E54541" w:rsidRDefault="005A281D" w:rsidP="00E54541">
      <w:pPr>
        <w:tabs>
          <w:tab w:val="left" w:pos="-1440"/>
          <w:tab w:val="left" w:pos="-720"/>
        </w:tabs>
        <w:rPr>
          <w:rFonts w:ascii="Bookman Old Style" w:hAnsi="Bookman Old Style"/>
          <w:szCs w:val="24"/>
        </w:rPr>
      </w:pPr>
    </w:p>
    <w:p w14:paraId="79DC93CB" w14:textId="0DB6890C" w:rsidR="00F52BEA"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1E1EDB45" w14:textId="77777777" w:rsidR="00F52BEA" w:rsidRPr="00E54541" w:rsidRDefault="00F52BEA" w:rsidP="00E54541">
      <w:pPr>
        <w:tabs>
          <w:tab w:val="left" w:pos="-1440"/>
          <w:tab w:val="left" w:pos="-720"/>
        </w:tabs>
        <w:rPr>
          <w:rFonts w:ascii="Bookman Old Style" w:hAnsi="Bookman Old Style"/>
          <w:szCs w:val="24"/>
        </w:rPr>
      </w:pPr>
    </w:p>
    <w:p w14:paraId="24944E73" w14:textId="5503B470"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13401E">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AA23" w14:textId="77777777" w:rsidR="00172955" w:rsidRDefault="00172955">
      <w:pPr>
        <w:widowControl/>
        <w:spacing w:line="20" w:lineRule="exact"/>
      </w:pPr>
    </w:p>
  </w:endnote>
  <w:endnote w:type="continuationSeparator" w:id="0">
    <w:p w14:paraId="190405D4" w14:textId="77777777" w:rsidR="00172955" w:rsidRDefault="00172955">
      <w:r>
        <w:t xml:space="preserve"> </w:t>
      </w:r>
    </w:p>
  </w:endnote>
  <w:endnote w:type="continuationNotice" w:id="1">
    <w:p w14:paraId="6DAD98E3" w14:textId="77777777" w:rsidR="00172955" w:rsidRDefault="001729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E8EF" w14:textId="77777777" w:rsidR="00172955" w:rsidRDefault="00172955">
      <w:r>
        <w:separator/>
      </w:r>
    </w:p>
  </w:footnote>
  <w:footnote w:type="continuationSeparator" w:id="0">
    <w:p w14:paraId="4B4C74A7" w14:textId="77777777" w:rsidR="00172955" w:rsidRDefault="0017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8C9D" w14:textId="08CDD5DB"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172955">
      <w:rPr>
        <w:rFonts w:ascii="Bookman Old Style" w:hAnsi="Bookman Old Style"/>
      </w:rPr>
      <w:t>21 0027</w:t>
    </w:r>
  </w:p>
  <w:p w14:paraId="26922679"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FDAB5B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955"/>
    <w:rsid w:val="00027F9D"/>
    <w:rsid w:val="00042D97"/>
    <w:rsid w:val="000443B6"/>
    <w:rsid w:val="000D3B41"/>
    <w:rsid w:val="000E4D91"/>
    <w:rsid w:val="000F5712"/>
    <w:rsid w:val="0013401E"/>
    <w:rsid w:val="00144FA4"/>
    <w:rsid w:val="0016631C"/>
    <w:rsid w:val="00172955"/>
    <w:rsid w:val="00282408"/>
    <w:rsid w:val="002A3C37"/>
    <w:rsid w:val="002B4A81"/>
    <w:rsid w:val="002B4C7B"/>
    <w:rsid w:val="002C42D3"/>
    <w:rsid w:val="002D5A94"/>
    <w:rsid w:val="003115E0"/>
    <w:rsid w:val="0033240A"/>
    <w:rsid w:val="0038170D"/>
    <w:rsid w:val="00382877"/>
    <w:rsid w:val="003A5235"/>
    <w:rsid w:val="003B709B"/>
    <w:rsid w:val="003C0ED2"/>
    <w:rsid w:val="003E7E91"/>
    <w:rsid w:val="003F05F1"/>
    <w:rsid w:val="003F334B"/>
    <w:rsid w:val="00401987"/>
    <w:rsid w:val="00427351"/>
    <w:rsid w:val="004449AA"/>
    <w:rsid w:val="0047053D"/>
    <w:rsid w:val="004758FD"/>
    <w:rsid w:val="004B0A1E"/>
    <w:rsid w:val="004C44C6"/>
    <w:rsid w:val="005445AE"/>
    <w:rsid w:val="00567B74"/>
    <w:rsid w:val="00581F65"/>
    <w:rsid w:val="005A281D"/>
    <w:rsid w:val="005A6135"/>
    <w:rsid w:val="00600E6C"/>
    <w:rsid w:val="00613F00"/>
    <w:rsid w:val="00661D7B"/>
    <w:rsid w:val="006A1EEB"/>
    <w:rsid w:val="006B1D47"/>
    <w:rsid w:val="00706D74"/>
    <w:rsid w:val="007149F1"/>
    <w:rsid w:val="00762388"/>
    <w:rsid w:val="00774034"/>
    <w:rsid w:val="007A74D3"/>
    <w:rsid w:val="007D240A"/>
    <w:rsid w:val="00842043"/>
    <w:rsid w:val="008516EC"/>
    <w:rsid w:val="008B1CA2"/>
    <w:rsid w:val="008E5C2B"/>
    <w:rsid w:val="008F1497"/>
    <w:rsid w:val="008F3C72"/>
    <w:rsid w:val="00970516"/>
    <w:rsid w:val="009D64FB"/>
    <w:rsid w:val="00A53090"/>
    <w:rsid w:val="00AB368A"/>
    <w:rsid w:val="00B343ED"/>
    <w:rsid w:val="00B355CA"/>
    <w:rsid w:val="00B554BF"/>
    <w:rsid w:val="00C035D6"/>
    <w:rsid w:val="00C47467"/>
    <w:rsid w:val="00CF1306"/>
    <w:rsid w:val="00D025D4"/>
    <w:rsid w:val="00D829CE"/>
    <w:rsid w:val="00DD54FF"/>
    <w:rsid w:val="00E15DF9"/>
    <w:rsid w:val="00E20AA8"/>
    <w:rsid w:val="00E3530F"/>
    <w:rsid w:val="00E54541"/>
    <w:rsid w:val="00EA362A"/>
    <w:rsid w:val="00EB2462"/>
    <w:rsid w:val="00EB62BC"/>
    <w:rsid w:val="00EC3E1C"/>
    <w:rsid w:val="00EE2933"/>
    <w:rsid w:val="00EE7F4C"/>
    <w:rsid w:val="00EF524E"/>
    <w:rsid w:val="00F21862"/>
    <w:rsid w:val="00F52BEA"/>
    <w:rsid w:val="00F81F57"/>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842AB5B"/>
  <w15:chartTrackingRefBased/>
  <w15:docId w15:val="{8D40842B-AE4B-497B-BFB2-EC532AC9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6</Pages>
  <Words>2163</Words>
  <Characters>11209</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2021-05-28T19:11:00Z</dcterms:created>
  <dcterms:modified xsi:type="dcterms:W3CDTF">2021-05-28T19:11:00Z</dcterms:modified>
</cp:coreProperties>
</file>