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EAF20" w14:textId="77777777" w:rsidR="005E68FF" w:rsidRDefault="00B823B5" w:rsidP="005E68FF">
      <w:pPr>
        <w:widowControl/>
        <w:tabs>
          <w:tab w:val="center" w:pos="4680"/>
        </w:tabs>
        <w:suppressAutoHyphens/>
        <w:jc w:val="center"/>
        <w:rPr>
          <w:rFonts w:ascii="Bookman Old Style" w:hAnsi="Bookman Old Style"/>
          <w:b/>
        </w:rPr>
      </w:pPr>
      <w:r>
        <w:rPr>
          <w:rFonts w:ascii="Bookman Old Style" w:hAnsi="Bookman Old Style"/>
          <w:b/>
          <w:noProof/>
          <w:snapToGrid/>
        </w:rPr>
        <w:pict w14:anchorId="651934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61.1pt;margin-top:-5.85pt;width:586.9pt;height:137.8pt;z-index:-251658752">
            <v:imagedata r:id="rId7" o:title="Appeals_Letterhead_Banner"/>
          </v:shape>
        </w:pict>
      </w:r>
    </w:p>
    <w:p w14:paraId="087143DB" w14:textId="77777777" w:rsidR="005E68FF" w:rsidRDefault="005E68FF" w:rsidP="005E68FF">
      <w:pPr>
        <w:pStyle w:val="Heading3"/>
        <w:widowControl/>
        <w:tabs>
          <w:tab w:val="center" w:pos="4680"/>
        </w:tabs>
        <w:suppressAutoHyphens/>
        <w:rPr>
          <w:rFonts w:ascii="Bookman Old Style" w:hAnsi="Bookman Old Style"/>
        </w:rPr>
      </w:pPr>
    </w:p>
    <w:p w14:paraId="7C44EB3E" w14:textId="77777777" w:rsidR="005E68FF" w:rsidRDefault="005E68FF" w:rsidP="005E68FF">
      <w:pPr>
        <w:pStyle w:val="Heading3"/>
        <w:widowControl/>
        <w:tabs>
          <w:tab w:val="center" w:pos="4680"/>
        </w:tabs>
        <w:suppressAutoHyphens/>
        <w:rPr>
          <w:rFonts w:ascii="Bookman Old Style" w:hAnsi="Bookman Old Style"/>
        </w:rPr>
      </w:pPr>
    </w:p>
    <w:p w14:paraId="7B019CAF" w14:textId="77777777" w:rsidR="005E68FF" w:rsidRDefault="005E68FF" w:rsidP="005E68FF">
      <w:pPr>
        <w:pStyle w:val="Heading3"/>
        <w:widowControl/>
        <w:tabs>
          <w:tab w:val="center" w:pos="4680"/>
        </w:tabs>
        <w:suppressAutoHyphens/>
        <w:rPr>
          <w:rFonts w:ascii="Bookman Old Style" w:hAnsi="Bookman Old Style"/>
        </w:rPr>
      </w:pPr>
    </w:p>
    <w:p w14:paraId="07E4ECD3" w14:textId="77777777" w:rsidR="005E68FF" w:rsidRDefault="005E68FF" w:rsidP="005E68FF">
      <w:pPr>
        <w:pStyle w:val="Heading3"/>
        <w:widowControl/>
        <w:tabs>
          <w:tab w:val="center" w:pos="4680"/>
        </w:tabs>
        <w:suppressAutoHyphens/>
        <w:rPr>
          <w:rFonts w:ascii="Bookman Old Style" w:hAnsi="Bookman Old Style"/>
        </w:rPr>
      </w:pPr>
    </w:p>
    <w:p w14:paraId="745E08E1" w14:textId="77777777" w:rsidR="005E68FF" w:rsidRDefault="005E68FF" w:rsidP="005E68FF">
      <w:pPr>
        <w:pStyle w:val="Heading3"/>
        <w:widowControl/>
        <w:tabs>
          <w:tab w:val="center" w:pos="4680"/>
        </w:tabs>
        <w:suppressAutoHyphens/>
        <w:rPr>
          <w:rFonts w:ascii="Bookman Old Style" w:hAnsi="Bookman Old Style"/>
        </w:rPr>
      </w:pPr>
    </w:p>
    <w:p w14:paraId="5687A2B6" w14:textId="77777777" w:rsidR="005E68FF" w:rsidRDefault="005E68FF" w:rsidP="005E68FF">
      <w:pPr>
        <w:pStyle w:val="Heading3"/>
        <w:widowControl/>
        <w:tabs>
          <w:tab w:val="center" w:pos="4680"/>
        </w:tabs>
        <w:suppressAutoHyphens/>
        <w:rPr>
          <w:rFonts w:ascii="Bookman Old Style" w:hAnsi="Bookman Old Style"/>
        </w:rPr>
      </w:pPr>
    </w:p>
    <w:p w14:paraId="2C7A0D70" w14:textId="77777777" w:rsidR="005E68FF" w:rsidRDefault="005E68FF" w:rsidP="005E68FF">
      <w:pPr>
        <w:widowControl/>
        <w:tabs>
          <w:tab w:val="left" w:pos="-720"/>
        </w:tabs>
        <w:suppressAutoHyphens/>
        <w:rPr>
          <w:rFonts w:ascii="Bookman Old Style" w:hAnsi="Bookman Old Style"/>
        </w:rPr>
      </w:pPr>
    </w:p>
    <w:p w14:paraId="61625C0D" w14:textId="77777777" w:rsidR="0016206D" w:rsidRPr="00FB77CC" w:rsidRDefault="0016206D" w:rsidP="00FB77CC">
      <w:pPr>
        <w:tabs>
          <w:tab w:val="center" w:pos="4680"/>
        </w:tabs>
        <w:suppressAutoHyphens/>
        <w:jc w:val="center"/>
        <w:rPr>
          <w:rFonts w:ascii="Bookman Old Style" w:hAnsi="Bookman Old Style"/>
          <w:b/>
          <w:szCs w:val="24"/>
        </w:rPr>
      </w:pPr>
      <w:r w:rsidRPr="00FB77CC">
        <w:rPr>
          <w:rFonts w:ascii="Bookman Old Style" w:hAnsi="Bookman Old Style"/>
          <w:b/>
          <w:szCs w:val="24"/>
        </w:rPr>
        <w:t>APPEAL TRIBUNAL DECISION</w:t>
      </w:r>
    </w:p>
    <w:p w14:paraId="15723AD0" w14:textId="77777777" w:rsidR="007264A1" w:rsidRPr="00FB77CC" w:rsidRDefault="007264A1" w:rsidP="00FB77CC">
      <w:pPr>
        <w:tabs>
          <w:tab w:val="left" w:pos="90"/>
          <w:tab w:val="center" w:pos="4680"/>
        </w:tabs>
        <w:suppressAutoHyphens/>
        <w:jc w:val="center"/>
        <w:outlineLvl w:val="0"/>
        <w:rPr>
          <w:rFonts w:ascii="Bookman Old Style" w:hAnsi="Bookman Old Style"/>
          <w:szCs w:val="24"/>
        </w:rPr>
      </w:pPr>
    </w:p>
    <w:p w14:paraId="5A46FA1A" w14:textId="61460726" w:rsidR="0016206D" w:rsidRPr="00FB77CC" w:rsidRDefault="00AC29BB" w:rsidP="00FB77CC">
      <w:pPr>
        <w:tabs>
          <w:tab w:val="left" w:pos="0"/>
          <w:tab w:val="left" w:pos="90"/>
          <w:tab w:val="center" w:pos="4680"/>
        </w:tabs>
        <w:suppressAutoHyphens/>
        <w:jc w:val="center"/>
        <w:outlineLvl w:val="0"/>
        <w:rPr>
          <w:rFonts w:ascii="Bookman Old Style" w:hAnsi="Bookman Old Style"/>
          <w:szCs w:val="24"/>
        </w:rPr>
      </w:pPr>
      <w:r w:rsidRPr="00FB77CC">
        <w:rPr>
          <w:rFonts w:ascii="Bookman Old Style" w:hAnsi="Bookman Old Style"/>
          <w:b/>
          <w:szCs w:val="24"/>
        </w:rPr>
        <w:t xml:space="preserve">Docket </w:t>
      </w:r>
      <w:r w:rsidR="00DE12B1" w:rsidRPr="00FB77CC">
        <w:rPr>
          <w:rFonts w:ascii="Bookman Old Style" w:hAnsi="Bookman Old Style"/>
          <w:b/>
          <w:szCs w:val="24"/>
        </w:rPr>
        <w:t>number:</w:t>
      </w:r>
      <w:r w:rsidR="0016206D" w:rsidRPr="00FB77CC">
        <w:rPr>
          <w:rFonts w:ascii="Bookman Old Style" w:hAnsi="Bookman Old Style"/>
          <w:szCs w:val="24"/>
        </w:rPr>
        <w:t xml:space="preserve">  </w:t>
      </w:r>
      <w:r w:rsidR="009D2381">
        <w:rPr>
          <w:rFonts w:ascii="Bookman Old Style" w:hAnsi="Bookman Old Style"/>
          <w:szCs w:val="24"/>
        </w:rPr>
        <w:t>21 0623</w:t>
      </w:r>
      <w:r w:rsidR="0016206D" w:rsidRPr="00FB77CC">
        <w:rPr>
          <w:rFonts w:ascii="Bookman Old Style" w:hAnsi="Bookman Old Style"/>
          <w:szCs w:val="24"/>
        </w:rPr>
        <w:t xml:space="preserve">    </w:t>
      </w:r>
      <w:r w:rsidRPr="00FB77CC">
        <w:rPr>
          <w:rFonts w:ascii="Bookman Old Style" w:hAnsi="Bookman Old Style"/>
          <w:b/>
          <w:szCs w:val="24"/>
        </w:rPr>
        <w:t>Hearing d</w:t>
      </w:r>
      <w:r w:rsidR="0016206D" w:rsidRPr="00FB77CC">
        <w:rPr>
          <w:rFonts w:ascii="Bookman Old Style" w:hAnsi="Bookman Old Style"/>
          <w:b/>
          <w:szCs w:val="24"/>
        </w:rPr>
        <w:t>ate:</w:t>
      </w:r>
      <w:r w:rsidR="0016206D" w:rsidRPr="00FB77CC">
        <w:rPr>
          <w:rFonts w:ascii="Bookman Old Style" w:hAnsi="Bookman Old Style"/>
          <w:szCs w:val="24"/>
        </w:rPr>
        <w:t xml:space="preserve">  </w:t>
      </w:r>
      <w:r w:rsidR="009D2381">
        <w:rPr>
          <w:rFonts w:ascii="Bookman Old Style" w:hAnsi="Bookman Old Style"/>
          <w:szCs w:val="24"/>
        </w:rPr>
        <w:t>September 28, 2021</w:t>
      </w:r>
    </w:p>
    <w:p w14:paraId="6FF5AEA7" w14:textId="77777777" w:rsidR="0016206D" w:rsidRPr="00FB77CC" w:rsidRDefault="0016206D" w:rsidP="00FB77CC">
      <w:pPr>
        <w:tabs>
          <w:tab w:val="left" w:pos="-720"/>
        </w:tabs>
        <w:suppressAutoHyphens/>
        <w:rPr>
          <w:rFonts w:ascii="Bookman Old Style" w:hAnsi="Bookman Old Style"/>
          <w:szCs w:val="24"/>
        </w:rPr>
      </w:pPr>
    </w:p>
    <w:p w14:paraId="3F3A3C7F" w14:textId="77777777" w:rsidR="0016206D" w:rsidRPr="00FB77CC" w:rsidRDefault="0016206D" w:rsidP="00FB77CC">
      <w:pPr>
        <w:tabs>
          <w:tab w:val="left" w:pos="-1440"/>
          <w:tab w:val="left" w:pos="-720"/>
          <w:tab w:val="left" w:pos="0"/>
          <w:tab w:val="left" w:pos="5040"/>
          <w:tab w:val="left" w:pos="5760"/>
        </w:tabs>
        <w:suppressAutoHyphens/>
        <w:ind w:right="-360"/>
        <w:outlineLvl w:val="0"/>
        <w:rPr>
          <w:rFonts w:ascii="Bookman Old Style" w:hAnsi="Bookman Old Style"/>
          <w:szCs w:val="24"/>
        </w:rPr>
      </w:pPr>
      <w:r w:rsidRPr="00FB77CC">
        <w:rPr>
          <w:rFonts w:ascii="Bookman Old Style" w:hAnsi="Bookman Old Style"/>
          <w:b/>
          <w:szCs w:val="24"/>
        </w:rPr>
        <w:t>CLAIMANT:</w:t>
      </w:r>
      <w:r w:rsidRPr="00FB77CC">
        <w:rPr>
          <w:rFonts w:ascii="Bookman Old Style" w:hAnsi="Bookman Old Style"/>
          <w:b/>
          <w:szCs w:val="24"/>
        </w:rPr>
        <w:tab/>
        <w:t>EMPLOYER:</w:t>
      </w:r>
    </w:p>
    <w:p w14:paraId="382FA97B" w14:textId="77777777" w:rsidR="0016206D" w:rsidRPr="00FB77CC" w:rsidRDefault="0016206D" w:rsidP="00FB77CC">
      <w:pPr>
        <w:tabs>
          <w:tab w:val="left" w:pos="-1440"/>
          <w:tab w:val="left" w:pos="-720"/>
          <w:tab w:val="left" w:pos="0"/>
          <w:tab w:val="left" w:pos="5760"/>
        </w:tabs>
        <w:suppressAutoHyphens/>
        <w:ind w:right="-360"/>
        <w:rPr>
          <w:rFonts w:ascii="Bookman Old Style" w:hAnsi="Bookman Old Style"/>
          <w:szCs w:val="24"/>
        </w:rPr>
      </w:pPr>
    </w:p>
    <w:p w14:paraId="12A7D26D" w14:textId="2C5B15CD" w:rsidR="009D2381" w:rsidRPr="009D2381" w:rsidRDefault="009D2381" w:rsidP="009D2381">
      <w:pPr>
        <w:tabs>
          <w:tab w:val="left" w:pos="-1440"/>
          <w:tab w:val="left" w:pos="-720"/>
          <w:tab w:val="left" w:pos="0"/>
          <w:tab w:val="left" w:pos="5040"/>
          <w:tab w:val="left" w:pos="5760"/>
        </w:tabs>
        <w:suppressAutoHyphens/>
        <w:ind w:right="-360"/>
        <w:rPr>
          <w:rFonts w:ascii="Bookman Old Style" w:hAnsi="Bookman Old Style"/>
          <w:szCs w:val="24"/>
        </w:rPr>
      </w:pPr>
      <w:r w:rsidRPr="009D2381">
        <w:rPr>
          <w:rFonts w:ascii="Bookman Old Style" w:hAnsi="Bookman Old Style"/>
          <w:szCs w:val="24"/>
        </w:rPr>
        <w:t>TALINA JUDD</w:t>
      </w:r>
      <w:r>
        <w:rPr>
          <w:rFonts w:ascii="Bookman Old Style" w:hAnsi="Bookman Old Style"/>
          <w:szCs w:val="24"/>
        </w:rPr>
        <w:tab/>
      </w:r>
      <w:r w:rsidRPr="009D2381">
        <w:rPr>
          <w:rFonts w:ascii="Bookman Old Style" w:hAnsi="Bookman Old Style"/>
          <w:szCs w:val="24"/>
        </w:rPr>
        <w:t>ARCTIC INSTALLERS INC</w:t>
      </w:r>
    </w:p>
    <w:p w14:paraId="7DBAE6B8" w14:textId="4AA3290E" w:rsidR="0016206D" w:rsidRDefault="0016206D" w:rsidP="00FB77CC">
      <w:pPr>
        <w:tabs>
          <w:tab w:val="left" w:pos="-1440"/>
          <w:tab w:val="left" w:pos="-720"/>
          <w:tab w:val="left" w:pos="0"/>
          <w:tab w:val="left" w:pos="5760"/>
        </w:tabs>
        <w:suppressAutoHyphens/>
        <w:ind w:right="-360"/>
        <w:rPr>
          <w:rFonts w:ascii="Bookman Old Style" w:hAnsi="Bookman Old Style"/>
          <w:szCs w:val="24"/>
        </w:rPr>
      </w:pPr>
    </w:p>
    <w:p w14:paraId="706ADBAB" w14:textId="4E7A2A4D" w:rsidR="00B823B5" w:rsidRDefault="00B823B5" w:rsidP="00FB77CC">
      <w:pPr>
        <w:tabs>
          <w:tab w:val="left" w:pos="-1440"/>
          <w:tab w:val="left" w:pos="-720"/>
          <w:tab w:val="left" w:pos="0"/>
          <w:tab w:val="left" w:pos="5760"/>
        </w:tabs>
        <w:suppressAutoHyphens/>
        <w:ind w:right="-360"/>
        <w:rPr>
          <w:rFonts w:ascii="Bookman Old Style" w:hAnsi="Bookman Old Style"/>
          <w:szCs w:val="24"/>
        </w:rPr>
      </w:pPr>
    </w:p>
    <w:p w14:paraId="3FB5BD7D" w14:textId="77777777" w:rsidR="00B823B5" w:rsidRPr="00FB77CC" w:rsidRDefault="00B823B5" w:rsidP="00FB77CC">
      <w:pPr>
        <w:tabs>
          <w:tab w:val="left" w:pos="-1440"/>
          <w:tab w:val="left" w:pos="-720"/>
          <w:tab w:val="left" w:pos="0"/>
          <w:tab w:val="left" w:pos="5760"/>
        </w:tabs>
        <w:suppressAutoHyphens/>
        <w:ind w:right="-360"/>
        <w:rPr>
          <w:rFonts w:ascii="Bookman Old Style" w:hAnsi="Bookman Old Style"/>
          <w:szCs w:val="24"/>
        </w:rPr>
      </w:pPr>
    </w:p>
    <w:p w14:paraId="06322552" w14:textId="77777777" w:rsidR="0016206D" w:rsidRPr="00FB77CC" w:rsidRDefault="0016206D" w:rsidP="00FB77CC">
      <w:pPr>
        <w:tabs>
          <w:tab w:val="left" w:pos="-1440"/>
          <w:tab w:val="left" w:pos="-720"/>
          <w:tab w:val="left" w:pos="0"/>
          <w:tab w:val="left" w:pos="5040"/>
          <w:tab w:val="left" w:pos="5760"/>
        </w:tabs>
        <w:suppressAutoHyphens/>
        <w:ind w:right="-360"/>
        <w:rPr>
          <w:rFonts w:ascii="Bookman Old Style" w:hAnsi="Bookman Old Style"/>
          <w:szCs w:val="24"/>
        </w:rPr>
      </w:pPr>
      <w:r w:rsidRPr="00FB77CC">
        <w:rPr>
          <w:rFonts w:ascii="Bookman Old Style" w:hAnsi="Bookman Old Style"/>
          <w:b/>
          <w:szCs w:val="24"/>
        </w:rPr>
        <w:t>CLAIMANT APPEARANCES:</w:t>
      </w:r>
      <w:r w:rsidRPr="00FB77CC">
        <w:rPr>
          <w:rFonts w:ascii="Bookman Old Style" w:hAnsi="Bookman Old Style"/>
          <w:b/>
          <w:szCs w:val="24"/>
        </w:rPr>
        <w:tab/>
        <w:t>EMPLOYER APPEARANCES:</w:t>
      </w:r>
    </w:p>
    <w:p w14:paraId="4CCE73A9" w14:textId="77777777" w:rsidR="0016206D" w:rsidRPr="00FB77CC" w:rsidRDefault="0016206D" w:rsidP="00FB77CC">
      <w:pPr>
        <w:tabs>
          <w:tab w:val="left" w:pos="-1440"/>
          <w:tab w:val="left" w:pos="-720"/>
          <w:tab w:val="left" w:pos="0"/>
          <w:tab w:val="left" w:pos="5760"/>
        </w:tabs>
        <w:suppressAutoHyphens/>
        <w:ind w:right="-360"/>
        <w:rPr>
          <w:rFonts w:ascii="Bookman Old Style" w:hAnsi="Bookman Old Style"/>
          <w:szCs w:val="24"/>
        </w:rPr>
      </w:pPr>
    </w:p>
    <w:p w14:paraId="2737EF11" w14:textId="2588B393" w:rsidR="0016206D" w:rsidRPr="00FB77CC" w:rsidRDefault="009D2381" w:rsidP="00FB77CC">
      <w:pPr>
        <w:tabs>
          <w:tab w:val="left" w:pos="-1440"/>
          <w:tab w:val="left" w:pos="-720"/>
          <w:tab w:val="left" w:pos="0"/>
          <w:tab w:val="left" w:pos="5040"/>
          <w:tab w:val="left" w:pos="5760"/>
        </w:tabs>
        <w:suppressAutoHyphens/>
        <w:ind w:right="-360"/>
        <w:rPr>
          <w:rFonts w:ascii="Bookman Old Style" w:hAnsi="Bookman Old Style"/>
          <w:szCs w:val="24"/>
        </w:rPr>
      </w:pPr>
      <w:proofErr w:type="spellStart"/>
      <w:r>
        <w:rPr>
          <w:rFonts w:ascii="Bookman Old Style" w:hAnsi="Bookman Old Style"/>
          <w:szCs w:val="24"/>
        </w:rPr>
        <w:t>Talina</w:t>
      </w:r>
      <w:proofErr w:type="spellEnd"/>
      <w:r>
        <w:rPr>
          <w:rFonts w:ascii="Bookman Old Style" w:hAnsi="Bookman Old Style"/>
          <w:szCs w:val="24"/>
        </w:rPr>
        <w:t xml:space="preserve"> Judd</w:t>
      </w:r>
      <w:r w:rsidR="00C841ED" w:rsidRPr="00FB77CC">
        <w:rPr>
          <w:rFonts w:ascii="Bookman Old Style" w:hAnsi="Bookman Old Style"/>
          <w:szCs w:val="24"/>
        </w:rPr>
        <w:tab/>
      </w:r>
      <w:r>
        <w:rPr>
          <w:rFonts w:ascii="Bookman Old Style" w:hAnsi="Bookman Old Style"/>
          <w:szCs w:val="24"/>
        </w:rPr>
        <w:t>None</w:t>
      </w:r>
    </w:p>
    <w:p w14:paraId="27DB1C65" w14:textId="77777777" w:rsidR="0016206D" w:rsidRPr="00FB77CC" w:rsidRDefault="0016206D" w:rsidP="00FB77CC">
      <w:pPr>
        <w:tabs>
          <w:tab w:val="left" w:pos="-1440"/>
          <w:tab w:val="left" w:pos="-720"/>
          <w:tab w:val="left" w:pos="0"/>
          <w:tab w:val="left" w:pos="5760"/>
        </w:tabs>
        <w:suppressAutoHyphens/>
        <w:ind w:right="-360"/>
        <w:rPr>
          <w:rFonts w:ascii="Bookman Old Style" w:hAnsi="Bookman Old Style"/>
          <w:szCs w:val="24"/>
        </w:rPr>
      </w:pPr>
    </w:p>
    <w:p w14:paraId="54AC1EA2" w14:textId="77777777" w:rsidR="0016206D" w:rsidRPr="00FB77CC" w:rsidRDefault="0016206D" w:rsidP="00FB77CC">
      <w:pPr>
        <w:pStyle w:val="Heading2"/>
        <w:rPr>
          <w:rFonts w:ascii="Bookman Old Style" w:hAnsi="Bookman Old Style"/>
          <w:szCs w:val="24"/>
        </w:rPr>
      </w:pPr>
      <w:r w:rsidRPr="00FB77CC">
        <w:rPr>
          <w:rFonts w:ascii="Bookman Old Style" w:hAnsi="Bookman Old Style"/>
          <w:szCs w:val="24"/>
        </w:rPr>
        <w:t>CASE HISTORY</w:t>
      </w:r>
    </w:p>
    <w:p w14:paraId="6A200E2E" w14:textId="77777777" w:rsidR="0016206D" w:rsidRPr="00FB77CC" w:rsidRDefault="0016206D" w:rsidP="00FB77CC">
      <w:pPr>
        <w:tabs>
          <w:tab w:val="center" w:pos="4860"/>
        </w:tabs>
        <w:suppressAutoHyphens/>
        <w:ind w:right="-360"/>
        <w:rPr>
          <w:rFonts w:ascii="Bookman Old Style" w:hAnsi="Bookman Old Style"/>
          <w:szCs w:val="24"/>
        </w:rPr>
      </w:pPr>
    </w:p>
    <w:p w14:paraId="547AD7E9" w14:textId="62D8C460" w:rsidR="0016206D" w:rsidRPr="009D2381" w:rsidRDefault="003F54EA" w:rsidP="009D2381">
      <w:pPr>
        <w:widowControl/>
        <w:spacing w:after="200"/>
        <w:rPr>
          <w:rFonts w:ascii="Bookman Old Style" w:hAnsi="Bookman Old Style"/>
          <w:snapToGrid/>
          <w:szCs w:val="24"/>
        </w:rPr>
      </w:pPr>
      <w:r w:rsidRPr="00FB77CC">
        <w:rPr>
          <w:rFonts w:ascii="Bookman Old Style" w:hAnsi="Bookman Old Style"/>
          <w:snapToGrid/>
          <w:szCs w:val="24"/>
        </w:rPr>
        <w:t xml:space="preserve">The </w:t>
      </w:r>
      <w:r w:rsidR="009D2381">
        <w:rPr>
          <w:rFonts w:ascii="Bookman Old Style" w:hAnsi="Bookman Old Style"/>
          <w:szCs w:val="24"/>
        </w:rPr>
        <w:t>claimant</w:t>
      </w:r>
      <w:r w:rsidR="001E566D">
        <w:rPr>
          <w:rFonts w:ascii="Bookman Old Style" w:hAnsi="Bookman Old Style"/>
          <w:szCs w:val="24"/>
        </w:rPr>
        <w:t xml:space="preserve"> </w:t>
      </w:r>
      <w:r w:rsidRPr="00FB77CC">
        <w:rPr>
          <w:rFonts w:ascii="Bookman Old Style" w:hAnsi="Bookman Old Style"/>
          <w:snapToGrid/>
          <w:szCs w:val="24"/>
        </w:rPr>
        <w:t xml:space="preserve">timely appealed a </w:t>
      </w:r>
      <w:r w:rsidR="009D2381">
        <w:rPr>
          <w:rFonts w:ascii="Bookman Old Style" w:hAnsi="Bookman Old Style"/>
          <w:snapToGrid/>
          <w:szCs w:val="24"/>
        </w:rPr>
        <w:t xml:space="preserve">March 30, </w:t>
      </w:r>
      <w:proofErr w:type="gramStart"/>
      <w:r w:rsidR="009D2381">
        <w:rPr>
          <w:rFonts w:ascii="Bookman Old Style" w:hAnsi="Bookman Old Style"/>
          <w:snapToGrid/>
          <w:szCs w:val="24"/>
        </w:rPr>
        <w:t>2021</w:t>
      </w:r>
      <w:proofErr w:type="gramEnd"/>
      <w:r w:rsidRPr="00FB77CC">
        <w:rPr>
          <w:rFonts w:ascii="Bookman Old Style" w:hAnsi="Bookman Old Style"/>
          <w:snapToGrid/>
          <w:szCs w:val="24"/>
        </w:rPr>
        <w:t xml:space="preserve"> determination which denied benefits under Alaska Statute 23.20.379. The issue before the Appeal Tribunal is whether the claimant was discharged for misconduct connected with the work.</w:t>
      </w:r>
    </w:p>
    <w:p w14:paraId="07B9F96A" w14:textId="77777777" w:rsidR="0016206D" w:rsidRPr="00FB77CC" w:rsidRDefault="0016206D" w:rsidP="00FB77CC">
      <w:pPr>
        <w:tabs>
          <w:tab w:val="center" w:pos="4860"/>
        </w:tabs>
        <w:suppressAutoHyphens/>
        <w:ind w:right="-360"/>
        <w:rPr>
          <w:rFonts w:ascii="Bookman Old Style" w:hAnsi="Bookman Old Style"/>
          <w:szCs w:val="24"/>
        </w:rPr>
      </w:pPr>
      <w:r w:rsidRPr="00FB77CC">
        <w:rPr>
          <w:rFonts w:ascii="Bookman Old Style" w:hAnsi="Bookman Old Style"/>
          <w:b/>
          <w:szCs w:val="24"/>
        </w:rPr>
        <w:tab/>
        <w:t>FINDINGS OF FACT</w:t>
      </w:r>
    </w:p>
    <w:p w14:paraId="04A1FCFA" w14:textId="77777777" w:rsidR="0016206D" w:rsidRPr="00FB77CC" w:rsidRDefault="0016206D" w:rsidP="00FB77CC">
      <w:pPr>
        <w:tabs>
          <w:tab w:val="left" w:pos="-1440"/>
          <w:tab w:val="left" w:pos="-720"/>
        </w:tabs>
        <w:suppressAutoHyphens/>
        <w:ind w:right="-360"/>
        <w:rPr>
          <w:rFonts w:ascii="Bookman Old Style" w:hAnsi="Bookman Old Style"/>
          <w:szCs w:val="24"/>
        </w:rPr>
      </w:pPr>
    </w:p>
    <w:p w14:paraId="2BBFDF2E" w14:textId="3FCF3F12" w:rsidR="003F54EA" w:rsidRDefault="003F54EA" w:rsidP="00FB77CC">
      <w:pPr>
        <w:widowControl/>
        <w:tabs>
          <w:tab w:val="left" w:pos="-1440"/>
          <w:tab w:val="left" w:pos="-720"/>
        </w:tabs>
        <w:suppressAutoHyphens/>
        <w:spacing w:after="200"/>
        <w:ind w:right="-360"/>
        <w:rPr>
          <w:rFonts w:ascii="Bookman Old Style" w:hAnsi="Bookman Old Style"/>
          <w:snapToGrid/>
          <w:szCs w:val="24"/>
        </w:rPr>
      </w:pPr>
      <w:r w:rsidRPr="00FB77CC">
        <w:rPr>
          <w:rFonts w:ascii="Bookman Old Style" w:hAnsi="Bookman Old Style"/>
          <w:snapToGrid/>
          <w:szCs w:val="24"/>
        </w:rPr>
        <w:t xml:space="preserve">The claimant began work for the employer </w:t>
      </w:r>
      <w:r w:rsidR="009D2381">
        <w:rPr>
          <w:rFonts w:ascii="Bookman Old Style" w:hAnsi="Bookman Old Style"/>
          <w:snapToGrid/>
          <w:szCs w:val="24"/>
        </w:rPr>
        <w:t>in August 2020</w:t>
      </w:r>
      <w:r w:rsidRPr="00FB77CC">
        <w:rPr>
          <w:rFonts w:ascii="Bookman Old Style" w:hAnsi="Bookman Old Style"/>
          <w:snapToGrid/>
          <w:szCs w:val="24"/>
        </w:rPr>
        <w:t xml:space="preserve">. </w:t>
      </w:r>
      <w:r w:rsidR="009D2381">
        <w:rPr>
          <w:rFonts w:ascii="Bookman Old Style" w:hAnsi="Bookman Old Style"/>
          <w:snapToGrid/>
          <w:szCs w:val="24"/>
        </w:rPr>
        <w:t>She</w:t>
      </w:r>
      <w:r w:rsidRPr="00FB77CC">
        <w:rPr>
          <w:rFonts w:ascii="Bookman Old Style" w:hAnsi="Bookman Old Style"/>
          <w:snapToGrid/>
          <w:szCs w:val="24"/>
        </w:rPr>
        <w:t xml:space="preserve"> last worked on </w:t>
      </w:r>
      <w:r w:rsidR="009D2381">
        <w:rPr>
          <w:rFonts w:ascii="Bookman Old Style" w:hAnsi="Bookman Old Style"/>
          <w:snapToGrid/>
          <w:szCs w:val="24"/>
        </w:rPr>
        <w:t>March 3, 2021</w:t>
      </w:r>
      <w:r w:rsidRPr="00FB77CC">
        <w:rPr>
          <w:rFonts w:ascii="Bookman Old Style" w:hAnsi="Bookman Old Style"/>
          <w:snapToGrid/>
          <w:szCs w:val="24"/>
        </w:rPr>
        <w:t xml:space="preserve">. At that time, </w:t>
      </w:r>
      <w:r w:rsidR="009D2381">
        <w:rPr>
          <w:rFonts w:ascii="Bookman Old Style" w:hAnsi="Bookman Old Style"/>
          <w:snapToGrid/>
          <w:szCs w:val="24"/>
        </w:rPr>
        <w:t>she</w:t>
      </w:r>
      <w:r w:rsidRPr="00FB77CC">
        <w:rPr>
          <w:rFonts w:ascii="Bookman Old Style" w:hAnsi="Bookman Old Style"/>
          <w:snapToGrid/>
          <w:szCs w:val="24"/>
        </w:rPr>
        <w:t xml:space="preserve"> worked </w:t>
      </w:r>
      <w:r w:rsidR="009D2381">
        <w:rPr>
          <w:rFonts w:ascii="Bookman Old Style" w:hAnsi="Bookman Old Style"/>
          <w:snapToGrid/>
          <w:szCs w:val="24"/>
        </w:rPr>
        <w:t>full-time</w:t>
      </w:r>
      <w:r w:rsidRPr="00FB77CC">
        <w:rPr>
          <w:rFonts w:ascii="Bookman Old Style" w:hAnsi="Bookman Old Style"/>
          <w:snapToGrid/>
          <w:szCs w:val="24"/>
        </w:rPr>
        <w:t xml:space="preserve"> as a </w:t>
      </w:r>
      <w:r w:rsidR="009D2381">
        <w:rPr>
          <w:rFonts w:ascii="Bookman Old Style" w:hAnsi="Bookman Old Style"/>
          <w:snapToGrid/>
          <w:szCs w:val="24"/>
        </w:rPr>
        <w:t>driver</w:t>
      </w:r>
      <w:r w:rsidRPr="00FB77CC">
        <w:rPr>
          <w:rFonts w:ascii="Bookman Old Style" w:hAnsi="Bookman Old Style"/>
          <w:snapToGrid/>
          <w:szCs w:val="24"/>
        </w:rPr>
        <w:t>.</w:t>
      </w:r>
    </w:p>
    <w:p w14:paraId="07440F12" w14:textId="09DAEE00" w:rsidR="009D2381" w:rsidRDefault="009D2381" w:rsidP="00FB77CC">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The claimant had to leave work early </w:t>
      </w:r>
      <w:r w:rsidR="00E456A8">
        <w:rPr>
          <w:rFonts w:ascii="Bookman Old Style" w:hAnsi="Bookman Old Style"/>
          <w:snapToGrid/>
          <w:szCs w:val="24"/>
        </w:rPr>
        <w:t xml:space="preserve">on </w:t>
      </w:r>
      <w:r>
        <w:rPr>
          <w:rFonts w:ascii="Bookman Old Style" w:hAnsi="Bookman Old Style"/>
          <w:snapToGrid/>
          <w:szCs w:val="24"/>
        </w:rPr>
        <w:t xml:space="preserve">March 3, </w:t>
      </w:r>
      <w:proofErr w:type="gramStart"/>
      <w:r>
        <w:rPr>
          <w:rFonts w:ascii="Bookman Old Style" w:hAnsi="Bookman Old Style"/>
          <w:snapToGrid/>
          <w:szCs w:val="24"/>
        </w:rPr>
        <w:t>2021</w:t>
      </w:r>
      <w:proofErr w:type="gramEnd"/>
      <w:r>
        <w:rPr>
          <w:rFonts w:ascii="Bookman Old Style" w:hAnsi="Bookman Old Style"/>
          <w:snapToGrid/>
          <w:szCs w:val="24"/>
        </w:rPr>
        <w:t xml:space="preserve"> to pick up her daughter from school.  The claimant</w:t>
      </w:r>
      <w:r w:rsidR="00BA0720">
        <w:rPr>
          <w:rFonts w:ascii="Bookman Old Style" w:hAnsi="Bookman Old Style"/>
          <w:snapToGrid/>
          <w:szCs w:val="24"/>
        </w:rPr>
        <w:t>’s</w:t>
      </w:r>
      <w:r>
        <w:rPr>
          <w:rFonts w:ascii="Bookman Old Style" w:hAnsi="Bookman Old Style"/>
          <w:snapToGrid/>
          <w:szCs w:val="24"/>
        </w:rPr>
        <w:t xml:space="preserve"> daughter w</w:t>
      </w:r>
      <w:r w:rsidR="00BA0720">
        <w:rPr>
          <w:rFonts w:ascii="Bookman Old Style" w:hAnsi="Bookman Old Style"/>
          <w:snapToGrid/>
          <w:szCs w:val="24"/>
        </w:rPr>
        <w:t>as</w:t>
      </w:r>
      <w:r>
        <w:rPr>
          <w:rFonts w:ascii="Bookman Old Style" w:hAnsi="Bookman Old Style"/>
          <w:snapToGrid/>
          <w:szCs w:val="24"/>
        </w:rPr>
        <w:t xml:space="preserve"> required to quarantine </w:t>
      </w:r>
      <w:r w:rsidR="00BA0720">
        <w:rPr>
          <w:rFonts w:ascii="Bookman Old Style" w:hAnsi="Bookman Old Style"/>
          <w:snapToGrid/>
          <w:szCs w:val="24"/>
        </w:rPr>
        <w:t xml:space="preserve">for two weeks </w:t>
      </w:r>
      <w:r>
        <w:rPr>
          <w:rFonts w:ascii="Bookman Old Style" w:hAnsi="Bookman Old Style"/>
          <w:snapToGrid/>
          <w:szCs w:val="24"/>
        </w:rPr>
        <w:t xml:space="preserve">because of a close contact with the COVID-19 virus.  The claimant called the owner and informed him that she </w:t>
      </w:r>
      <w:r w:rsidR="00BA0720">
        <w:rPr>
          <w:rFonts w:ascii="Bookman Old Style" w:hAnsi="Bookman Old Style"/>
          <w:snapToGrid/>
          <w:szCs w:val="24"/>
        </w:rPr>
        <w:t xml:space="preserve">could arrange for other care for her </w:t>
      </w:r>
      <w:proofErr w:type="gramStart"/>
      <w:r w:rsidR="00BA0720">
        <w:rPr>
          <w:rFonts w:ascii="Bookman Old Style" w:hAnsi="Bookman Old Style"/>
          <w:snapToGrid/>
          <w:szCs w:val="24"/>
        </w:rPr>
        <w:t>daughter</w:t>
      </w:r>
      <w:proofErr w:type="gramEnd"/>
      <w:r w:rsidR="00BA0720">
        <w:rPr>
          <w:rFonts w:ascii="Bookman Old Style" w:hAnsi="Bookman Old Style"/>
          <w:snapToGrid/>
          <w:szCs w:val="24"/>
        </w:rPr>
        <w:t xml:space="preserve"> and she could return the next day after getting a negative COVID-19 test.  The owner told the claimant she could not return until after a two-week quarantine.</w:t>
      </w:r>
    </w:p>
    <w:p w14:paraId="6B8CD0CF" w14:textId="77777777" w:rsidR="00BA0720" w:rsidRDefault="00BA0720" w:rsidP="00FB77CC">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On Monday, March 8, 2021, the claimant received a text message from the owner that her services were no longer needed.  He did not explain to the claimant why she was discharged. </w:t>
      </w:r>
    </w:p>
    <w:p w14:paraId="410D586E" w14:textId="7873BF7E" w:rsidR="0016206D" w:rsidRPr="00E456A8" w:rsidRDefault="00BA0720" w:rsidP="00E456A8">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Documents in the record show the employer told the Division that the claimant was discharged because she failed to complete daily vehicle inspections, and the vehicle she was driving was damaged because the oil was not changed when required. The claimant held that she did </w:t>
      </w:r>
      <w:r w:rsidR="003E68A2">
        <w:rPr>
          <w:rFonts w:ascii="Bookman Old Style" w:hAnsi="Bookman Old Style"/>
          <w:snapToGrid/>
          <w:szCs w:val="24"/>
        </w:rPr>
        <w:t xml:space="preserve">do a daily inspection of the vehicle, and when she first started, she used a tablet provided by the employer to log the inspections.  The claimant was not given a log-in for the program to log her vehicle </w:t>
      </w:r>
      <w:r w:rsidR="003E68A2">
        <w:rPr>
          <w:rFonts w:ascii="Bookman Old Style" w:hAnsi="Bookman Old Style"/>
          <w:snapToGrid/>
          <w:szCs w:val="24"/>
        </w:rPr>
        <w:lastRenderedPageBreak/>
        <w:t xml:space="preserve">inspections, she was instructed to use the owner’s log in.  Later, the claimant’s tablet was given to another employee by the owner.  The claimant still inspected her </w:t>
      </w:r>
      <w:proofErr w:type="gramStart"/>
      <w:r w:rsidR="003E68A2">
        <w:rPr>
          <w:rFonts w:ascii="Bookman Old Style" w:hAnsi="Bookman Old Style"/>
          <w:snapToGrid/>
          <w:szCs w:val="24"/>
        </w:rPr>
        <w:t>vehicle, but</w:t>
      </w:r>
      <w:proofErr w:type="gramEnd"/>
      <w:r w:rsidR="003E68A2">
        <w:rPr>
          <w:rFonts w:ascii="Bookman Old Style" w:hAnsi="Bookman Old Style"/>
          <w:snapToGrid/>
          <w:szCs w:val="24"/>
        </w:rPr>
        <w:t xml:space="preserve"> did not log the inspections.  She verbally reported vehicle issues to the </w:t>
      </w:r>
      <w:proofErr w:type="gramStart"/>
      <w:r w:rsidR="003E68A2">
        <w:rPr>
          <w:rFonts w:ascii="Bookman Old Style" w:hAnsi="Bookman Old Style"/>
          <w:snapToGrid/>
          <w:szCs w:val="24"/>
        </w:rPr>
        <w:t>owner, and</w:t>
      </w:r>
      <w:proofErr w:type="gramEnd"/>
      <w:r w:rsidR="003E68A2">
        <w:rPr>
          <w:rFonts w:ascii="Bookman Old Style" w:hAnsi="Bookman Old Style"/>
          <w:snapToGrid/>
          <w:szCs w:val="24"/>
        </w:rPr>
        <w:t xml:space="preserve"> recalled that she had informed the owner that the vehicle needed an oil change weeks before she was discharged.  The claimant was not warned that she was not properly documenting inspections</w:t>
      </w:r>
      <w:r w:rsidR="00E456A8">
        <w:rPr>
          <w:rFonts w:ascii="Bookman Old Style" w:hAnsi="Bookman Old Style"/>
          <w:snapToGrid/>
          <w:szCs w:val="24"/>
        </w:rPr>
        <w:t xml:space="preserve"> or that her job was in jeopardy.</w:t>
      </w:r>
    </w:p>
    <w:p w14:paraId="380650CC" w14:textId="77777777" w:rsidR="0016206D" w:rsidRPr="00FB77CC" w:rsidRDefault="0016206D" w:rsidP="00FB77CC">
      <w:pPr>
        <w:pStyle w:val="Heading2"/>
        <w:rPr>
          <w:rFonts w:ascii="Bookman Old Style" w:hAnsi="Bookman Old Style"/>
          <w:szCs w:val="24"/>
        </w:rPr>
      </w:pPr>
      <w:r w:rsidRPr="00FB77CC">
        <w:rPr>
          <w:rFonts w:ascii="Bookman Old Style" w:hAnsi="Bookman Old Style"/>
          <w:szCs w:val="24"/>
        </w:rPr>
        <w:t>PROVISIONS OF LAW</w:t>
      </w:r>
    </w:p>
    <w:p w14:paraId="65567DF8" w14:textId="77777777" w:rsidR="0016206D" w:rsidRPr="00FB77CC" w:rsidRDefault="0016206D" w:rsidP="00FB77CC">
      <w:pPr>
        <w:tabs>
          <w:tab w:val="left" w:pos="-1440"/>
          <w:tab w:val="left" w:pos="-720"/>
        </w:tabs>
        <w:suppressAutoHyphens/>
        <w:ind w:right="-360"/>
        <w:rPr>
          <w:rFonts w:ascii="Bookman Old Style" w:hAnsi="Bookman Old Style"/>
          <w:szCs w:val="24"/>
        </w:rPr>
      </w:pPr>
    </w:p>
    <w:p w14:paraId="422B8775" w14:textId="77777777" w:rsidR="0016206D" w:rsidRPr="00FB77CC" w:rsidRDefault="0016206D" w:rsidP="00FB77CC">
      <w:pPr>
        <w:tabs>
          <w:tab w:val="left" w:pos="-1440"/>
          <w:tab w:val="left" w:pos="-720"/>
          <w:tab w:val="left" w:pos="0"/>
          <w:tab w:val="left" w:pos="720"/>
          <w:tab w:val="left" w:pos="1440"/>
        </w:tabs>
        <w:suppressAutoHyphens/>
        <w:ind w:right="-360"/>
        <w:rPr>
          <w:rFonts w:ascii="Bookman Old Style" w:hAnsi="Bookman Old Style"/>
          <w:b/>
          <w:szCs w:val="24"/>
        </w:rPr>
      </w:pPr>
      <w:r w:rsidRPr="00FB77CC">
        <w:rPr>
          <w:rFonts w:ascii="Bookman Old Style" w:hAnsi="Bookman Old Style"/>
          <w:b/>
          <w:szCs w:val="24"/>
        </w:rPr>
        <w:t>AS 23.20.379 provides in part:</w:t>
      </w:r>
    </w:p>
    <w:p w14:paraId="1AF870B8" w14:textId="77777777" w:rsidR="0016206D" w:rsidRPr="00FB77CC" w:rsidRDefault="00C841ED" w:rsidP="00FB77CC">
      <w:pPr>
        <w:tabs>
          <w:tab w:val="left" w:pos="-1440"/>
          <w:tab w:val="left" w:pos="-720"/>
          <w:tab w:val="left" w:pos="0"/>
          <w:tab w:val="left" w:pos="720"/>
        </w:tabs>
        <w:suppressAutoHyphens/>
        <w:ind w:right="-360"/>
        <w:rPr>
          <w:rFonts w:ascii="Bookman Old Style" w:hAnsi="Bookman Old Style"/>
          <w:szCs w:val="24"/>
        </w:rPr>
      </w:pPr>
      <w:r w:rsidRPr="00FB77CC">
        <w:rPr>
          <w:rFonts w:ascii="Bookman Old Style" w:hAnsi="Bookman Old Style"/>
          <w:szCs w:val="24"/>
        </w:rPr>
        <w:tab/>
      </w:r>
    </w:p>
    <w:p w14:paraId="1AA4FC0D" w14:textId="20B4761D" w:rsidR="00E1431E" w:rsidRPr="00FB77CC" w:rsidRDefault="0016206D" w:rsidP="003E68A2">
      <w:pPr>
        <w:tabs>
          <w:tab w:val="left" w:pos="-1440"/>
          <w:tab w:val="left" w:pos="-720"/>
          <w:tab w:val="left" w:pos="0"/>
          <w:tab w:val="left" w:pos="1440"/>
        </w:tabs>
        <w:suppressAutoHyphens/>
        <w:ind w:left="1440" w:right="-360" w:hanging="720"/>
        <w:rPr>
          <w:rFonts w:ascii="Bookman Old Style" w:hAnsi="Bookman Old Style"/>
          <w:szCs w:val="24"/>
        </w:rPr>
      </w:pPr>
      <w:r w:rsidRPr="00FB77CC">
        <w:rPr>
          <w:rFonts w:ascii="Bookman Old Style" w:hAnsi="Bookman Old Style"/>
          <w:szCs w:val="24"/>
        </w:rPr>
        <w:t>(a)</w:t>
      </w:r>
      <w:r w:rsidR="00E1431E" w:rsidRPr="00FB77CC">
        <w:rPr>
          <w:rFonts w:ascii="Bookman Old Style" w:hAnsi="Bookman Old Style"/>
          <w:szCs w:val="24"/>
        </w:rPr>
        <w:t xml:space="preserve">  </w:t>
      </w:r>
      <w:r w:rsidRPr="00FB77CC">
        <w:rPr>
          <w:rFonts w:ascii="Bookman Old Style" w:hAnsi="Bookman Old Style"/>
          <w:szCs w:val="24"/>
        </w:rPr>
        <w:t xml:space="preserve">  </w:t>
      </w:r>
      <w:r w:rsidR="00E1431E" w:rsidRPr="00FB77CC">
        <w:rPr>
          <w:rFonts w:ascii="Bookman Old Style" w:hAnsi="Bookman Old Style"/>
          <w:szCs w:val="24"/>
        </w:rPr>
        <w:t xml:space="preserve">  </w:t>
      </w:r>
      <w:r w:rsidRPr="00FB77CC">
        <w:rPr>
          <w:rFonts w:ascii="Bookman Old Style" w:hAnsi="Bookman Old Style"/>
          <w:szCs w:val="24"/>
        </w:rPr>
        <w:t>An insured worker is disqualified for waiting-week credit</w:t>
      </w:r>
      <w:r w:rsidR="00E1431E" w:rsidRPr="00FB77CC">
        <w:rPr>
          <w:rFonts w:ascii="Bookman Old Style" w:hAnsi="Bookman Old Style"/>
          <w:szCs w:val="24"/>
        </w:rPr>
        <w:t xml:space="preserve"> </w:t>
      </w:r>
      <w:r w:rsidRPr="00FB77CC">
        <w:rPr>
          <w:rFonts w:ascii="Bookman Old Style" w:hAnsi="Bookman Old Style"/>
          <w:szCs w:val="24"/>
        </w:rPr>
        <w:t>or benefits for the first week in which the insured worker is unemployed and for the next five weeks of unemployment following that week if the insured worker...</w:t>
      </w:r>
    </w:p>
    <w:p w14:paraId="46663771" w14:textId="77777777" w:rsidR="0016206D" w:rsidRPr="00FB77CC" w:rsidRDefault="0016206D" w:rsidP="00FB77CC">
      <w:pPr>
        <w:tabs>
          <w:tab w:val="left" w:pos="-1440"/>
          <w:tab w:val="left" w:pos="-720"/>
          <w:tab w:val="left" w:pos="720"/>
          <w:tab w:val="left" w:pos="1440"/>
        </w:tabs>
        <w:suppressAutoHyphens/>
        <w:ind w:left="1440" w:right="-360" w:hanging="1440"/>
        <w:rPr>
          <w:rFonts w:ascii="Bookman Old Style" w:hAnsi="Bookman Old Style"/>
          <w:szCs w:val="24"/>
        </w:rPr>
      </w:pPr>
      <w:r w:rsidRPr="00FB77CC">
        <w:rPr>
          <w:rFonts w:ascii="Bookman Old Style" w:hAnsi="Bookman Old Style"/>
          <w:szCs w:val="24"/>
        </w:rPr>
        <w:t xml:space="preserve">          </w:t>
      </w:r>
      <w:r w:rsidR="00C841ED" w:rsidRPr="00FB77CC">
        <w:rPr>
          <w:rFonts w:ascii="Bookman Old Style" w:hAnsi="Bookman Old Style"/>
          <w:szCs w:val="24"/>
        </w:rPr>
        <w:tab/>
      </w:r>
      <w:r w:rsidRPr="00FB77CC">
        <w:rPr>
          <w:rFonts w:ascii="Bookman Old Style" w:hAnsi="Bookman Old Style"/>
          <w:szCs w:val="24"/>
        </w:rPr>
        <w:t xml:space="preserve">(2)  </w:t>
      </w:r>
      <w:r w:rsidR="00E1431E" w:rsidRPr="00FB77CC">
        <w:rPr>
          <w:rFonts w:ascii="Bookman Old Style" w:hAnsi="Bookman Old Style"/>
          <w:szCs w:val="24"/>
        </w:rPr>
        <w:t xml:space="preserve">   </w:t>
      </w:r>
      <w:r w:rsidRPr="00FB77CC">
        <w:rPr>
          <w:rFonts w:ascii="Bookman Old Style" w:hAnsi="Bookman Old Style"/>
          <w:szCs w:val="24"/>
        </w:rPr>
        <w:t>was discharge</w:t>
      </w:r>
      <w:r w:rsidR="00E1431E" w:rsidRPr="00FB77CC">
        <w:rPr>
          <w:rFonts w:ascii="Bookman Old Style" w:hAnsi="Bookman Old Style"/>
          <w:szCs w:val="24"/>
        </w:rPr>
        <w:t>d for misconduct connected with</w:t>
      </w:r>
      <w:r w:rsidRPr="00FB77CC">
        <w:rPr>
          <w:rFonts w:ascii="Bookman Old Style" w:hAnsi="Bookman Old Style"/>
          <w:szCs w:val="24"/>
        </w:rPr>
        <w:t xml:space="preserve"> the insured </w:t>
      </w:r>
      <w:r w:rsidR="00C841ED" w:rsidRPr="00FB77CC">
        <w:rPr>
          <w:rFonts w:ascii="Bookman Old Style" w:hAnsi="Bookman Old Style"/>
          <w:szCs w:val="24"/>
        </w:rPr>
        <w:t xml:space="preserve">                </w:t>
      </w:r>
      <w:r w:rsidRPr="00FB77CC">
        <w:rPr>
          <w:rFonts w:ascii="Bookman Old Style" w:hAnsi="Bookman Old Style"/>
          <w:szCs w:val="24"/>
        </w:rPr>
        <w:t>worker's last work</w:t>
      </w:r>
      <w:r w:rsidR="00C841ED" w:rsidRPr="00FB77CC">
        <w:rPr>
          <w:rFonts w:ascii="Bookman Old Style" w:hAnsi="Bookman Old Style"/>
          <w:szCs w:val="24"/>
        </w:rPr>
        <w:t>.</w:t>
      </w:r>
    </w:p>
    <w:p w14:paraId="5A69D725" w14:textId="77777777" w:rsidR="0016206D" w:rsidRPr="00FB77CC" w:rsidRDefault="0016206D" w:rsidP="00FB77CC">
      <w:pPr>
        <w:tabs>
          <w:tab w:val="left" w:pos="-1440"/>
          <w:tab w:val="left" w:pos="-720"/>
          <w:tab w:val="left" w:pos="0"/>
          <w:tab w:val="left" w:pos="720"/>
          <w:tab w:val="left" w:pos="1440"/>
        </w:tabs>
        <w:suppressAutoHyphens/>
        <w:ind w:right="-360"/>
        <w:rPr>
          <w:rFonts w:ascii="Bookman Old Style" w:hAnsi="Bookman Old Style"/>
          <w:szCs w:val="24"/>
        </w:rPr>
      </w:pPr>
    </w:p>
    <w:p w14:paraId="296F9244" w14:textId="77777777" w:rsidR="0016206D" w:rsidRPr="00FB77CC" w:rsidRDefault="0016206D" w:rsidP="00FB77CC">
      <w:pPr>
        <w:tabs>
          <w:tab w:val="left" w:pos="-1440"/>
          <w:tab w:val="left" w:pos="-720"/>
          <w:tab w:val="left" w:pos="0"/>
          <w:tab w:val="left" w:pos="720"/>
          <w:tab w:val="left" w:pos="1440"/>
        </w:tabs>
        <w:suppressAutoHyphens/>
        <w:ind w:right="-360"/>
        <w:rPr>
          <w:rFonts w:ascii="Bookman Old Style" w:hAnsi="Bookman Old Style"/>
          <w:b/>
          <w:szCs w:val="24"/>
        </w:rPr>
      </w:pPr>
      <w:r w:rsidRPr="00FB77CC">
        <w:rPr>
          <w:rFonts w:ascii="Bookman Old Style" w:hAnsi="Bookman Old Style"/>
          <w:b/>
          <w:szCs w:val="24"/>
        </w:rPr>
        <w:t>8 AAC 85.095 provides in part:</w:t>
      </w:r>
    </w:p>
    <w:p w14:paraId="384AFCCA" w14:textId="77777777" w:rsidR="0016206D" w:rsidRPr="00FB77CC" w:rsidRDefault="0016206D" w:rsidP="00FB77CC">
      <w:pPr>
        <w:tabs>
          <w:tab w:val="left" w:pos="-1440"/>
          <w:tab w:val="left" w:pos="-720"/>
          <w:tab w:val="left" w:pos="0"/>
          <w:tab w:val="left" w:pos="720"/>
          <w:tab w:val="left" w:pos="1440"/>
        </w:tabs>
        <w:suppressAutoHyphens/>
        <w:ind w:right="-360"/>
        <w:rPr>
          <w:rFonts w:ascii="Bookman Old Style" w:hAnsi="Bookman Old Style"/>
          <w:szCs w:val="24"/>
        </w:rPr>
      </w:pPr>
    </w:p>
    <w:p w14:paraId="2FD0B32A" w14:textId="77777777" w:rsidR="00E1431E" w:rsidRPr="00FB77CC" w:rsidRDefault="00E1431E" w:rsidP="00FB77CC">
      <w:pPr>
        <w:tabs>
          <w:tab w:val="left" w:pos="-1440"/>
          <w:tab w:val="left" w:pos="-720"/>
          <w:tab w:val="left" w:pos="720"/>
          <w:tab w:val="left" w:pos="1440"/>
        </w:tabs>
        <w:suppressAutoHyphens/>
        <w:ind w:left="1440" w:right="-360" w:hanging="1440"/>
        <w:rPr>
          <w:rFonts w:ascii="Bookman Old Style" w:hAnsi="Bookman Old Style"/>
          <w:szCs w:val="24"/>
        </w:rPr>
      </w:pPr>
      <w:r w:rsidRPr="00FB77CC">
        <w:rPr>
          <w:rFonts w:ascii="Bookman Old Style" w:hAnsi="Bookman Old Style"/>
          <w:szCs w:val="24"/>
        </w:rPr>
        <w:tab/>
      </w:r>
      <w:r w:rsidR="0016206D" w:rsidRPr="00FB77CC">
        <w:rPr>
          <w:rFonts w:ascii="Bookman Old Style" w:hAnsi="Bookman Old Style"/>
          <w:szCs w:val="24"/>
        </w:rPr>
        <w:t xml:space="preserve">(d)  </w:t>
      </w:r>
      <w:r w:rsidRPr="00FB77CC">
        <w:rPr>
          <w:rFonts w:ascii="Bookman Old Style" w:hAnsi="Bookman Old Style"/>
          <w:szCs w:val="24"/>
        </w:rPr>
        <w:t xml:space="preserve">   </w:t>
      </w:r>
      <w:r w:rsidR="0016206D" w:rsidRPr="00FB77CC">
        <w:rPr>
          <w:rFonts w:ascii="Bookman Old Style" w:hAnsi="Bookman Old Style"/>
          <w:szCs w:val="24"/>
        </w:rPr>
        <w:t>"Misconduct connected with the insured worker's work" as</w:t>
      </w:r>
      <w:r w:rsidRPr="00FB77CC">
        <w:rPr>
          <w:rFonts w:ascii="Bookman Old Style" w:hAnsi="Bookman Old Style"/>
          <w:szCs w:val="24"/>
        </w:rPr>
        <w:t xml:space="preserve"> </w:t>
      </w:r>
      <w:r w:rsidR="0016206D" w:rsidRPr="00FB77CC">
        <w:rPr>
          <w:rFonts w:ascii="Bookman Old Style" w:hAnsi="Bookman Old Style"/>
          <w:szCs w:val="24"/>
        </w:rPr>
        <w:t xml:space="preserve">used in </w:t>
      </w:r>
    </w:p>
    <w:p w14:paraId="74C2EA09" w14:textId="4623F8FF" w:rsidR="0016206D" w:rsidRPr="00FB77CC" w:rsidRDefault="00E1431E" w:rsidP="003E68A2">
      <w:pPr>
        <w:tabs>
          <w:tab w:val="left" w:pos="-1440"/>
          <w:tab w:val="left" w:pos="-720"/>
          <w:tab w:val="left" w:pos="720"/>
          <w:tab w:val="left" w:pos="1440"/>
        </w:tabs>
        <w:suppressAutoHyphens/>
        <w:ind w:left="1440" w:right="-360" w:hanging="1440"/>
        <w:rPr>
          <w:rFonts w:ascii="Bookman Old Style" w:hAnsi="Bookman Old Style"/>
          <w:szCs w:val="24"/>
        </w:rPr>
      </w:pPr>
      <w:r w:rsidRPr="00FB77CC">
        <w:rPr>
          <w:rFonts w:ascii="Bookman Old Style" w:hAnsi="Bookman Old Style"/>
          <w:szCs w:val="24"/>
        </w:rPr>
        <w:t xml:space="preserve">                   </w:t>
      </w:r>
      <w:r w:rsidR="0016206D" w:rsidRPr="00FB77CC">
        <w:rPr>
          <w:rFonts w:ascii="Bookman Old Style" w:hAnsi="Bookman Old Style"/>
          <w:szCs w:val="24"/>
        </w:rPr>
        <w:t>AS 23.20.379(a)(2) means</w:t>
      </w:r>
    </w:p>
    <w:p w14:paraId="74995147" w14:textId="77777777" w:rsidR="0016206D" w:rsidRPr="00FB77CC" w:rsidRDefault="00E1431E" w:rsidP="00FB77CC">
      <w:pPr>
        <w:tabs>
          <w:tab w:val="left" w:pos="-1440"/>
          <w:tab w:val="left" w:pos="-720"/>
          <w:tab w:val="left" w:pos="720"/>
          <w:tab w:val="left" w:pos="1440"/>
          <w:tab w:val="left" w:pos="2160"/>
        </w:tabs>
        <w:suppressAutoHyphens/>
        <w:ind w:left="2160" w:right="-360" w:hanging="2160"/>
        <w:rPr>
          <w:rFonts w:ascii="Bookman Old Style" w:hAnsi="Bookman Old Style"/>
          <w:szCs w:val="24"/>
        </w:rPr>
      </w:pPr>
      <w:r w:rsidRPr="00FB77CC">
        <w:rPr>
          <w:rFonts w:ascii="Bookman Old Style" w:hAnsi="Bookman Old Style"/>
          <w:szCs w:val="24"/>
        </w:rPr>
        <w:tab/>
      </w:r>
      <w:r w:rsidRPr="00FB77CC">
        <w:rPr>
          <w:rFonts w:ascii="Bookman Old Style" w:hAnsi="Bookman Old Style"/>
          <w:szCs w:val="24"/>
        </w:rPr>
        <w:tab/>
      </w:r>
      <w:r w:rsidR="0016206D" w:rsidRPr="00FB77CC">
        <w:rPr>
          <w:rFonts w:ascii="Bookman Old Style" w:hAnsi="Bookman Old Style"/>
          <w:szCs w:val="24"/>
        </w:rPr>
        <w:t xml:space="preserve">(1) </w:t>
      </w:r>
      <w:r w:rsidRPr="00FB77CC">
        <w:rPr>
          <w:rFonts w:ascii="Bookman Old Style" w:hAnsi="Bookman Old Style"/>
          <w:szCs w:val="24"/>
        </w:rPr>
        <w:t xml:space="preserve">  </w:t>
      </w:r>
      <w:r w:rsidR="0016206D" w:rsidRPr="00FB77CC">
        <w:rPr>
          <w:rFonts w:ascii="Bookman Old Style" w:hAnsi="Bookman Old Style"/>
          <w:szCs w:val="24"/>
        </w:rPr>
        <w:t xml:space="preserve"> </w:t>
      </w:r>
      <w:r w:rsidRPr="00FB77CC">
        <w:rPr>
          <w:rFonts w:ascii="Bookman Old Style" w:hAnsi="Bookman Old Style"/>
          <w:szCs w:val="24"/>
        </w:rPr>
        <w:t xml:space="preserve"> </w:t>
      </w:r>
      <w:r w:rsidR="00C841ED" w:rsidRPr="00FB77CC">
        <w:rPr>
          <w:rFonts w:ascii="Bookman Old Style" w:hAnsi="Bookman Old Style"/>
          <w:szCs w:val="24"/>
        </w:rPr>
        <w:t xml:space="preserve"> </w:t>
      </w:r>
      <w:r w:rsidR="0016206D" w:rsidRPr="00FB77CC">
        <w:rPr>
          <w:rFonts w:ascii="Bookman Old Style" w:hAnsi="Bookman Old Style"/>
          <w:szCs w:val="24"/>
        </w:rPr>
        <w:t>a claimant's conduct on the job, if the conduct</w:t>
      </w:r>
      <w:r w:rsidRPr="00FB77CC">
        <w:rPr>
          <w:rFonts w:ascii="Bookman Old Style" w:hAnsi="Bookman Old Style"/>
          <w:szCs w:val="24"/>
        </w:rPr>
        <w:t xml:space="preserve"> </w:t>
      </w:r>
      <w:r w:rsidR="0016206D" w:rsidRPr="00FB77CC">
        <w:rPr>
          <w:rFonts w:ascii="Bookman Old Style" w:hAnsi="Bookman Old Style"/>
          <w:szCs w:val="24"/>
        </w:rPr>
        <w:t>shows a wil</w:t>
      </w:r>
      <w:r w:rsidR="00C841ED" w:rsidRPr="00FB77CC">
        <w:rPr>
          <w:rFonts w:ascii="Bookman Old Style" w:hAnsi="Bookman Old Style"/>
          <w:szCs w:val="24"/>
        </w:rPr>
        <w:t>l</w:t>
      </w:r>
      <w:r w:rsidR="0016206D" w:rsidRPr="00FB77CC">
        <w:rPr>
          <w:rFonts w:ascii="Bookman Old Style" w:hAnsi="Bookman Old Style"/>
          <w:szCs w:val="24"/>
        </w:rPr>
        <w:t>ful and wanton disregard of the employer's interes</w:t>
      </w:r>
      <w:r w:rsidRPr="00FB77CC">
        <w:rPr>
          <w:rFonts w:ascii="Bookman Old Style" w:hAnsi="Bookman Old Style"/>
          <w:szCs w:val="24"/>
        </w:rPr>
        <w:t xml:space="preserve">t, as a claimant might show, for </w:t>
      </w:r>
      <w:r w:rsidR="0016206D" w:rsidRPr="00FB77CC">
        <w:rPr>
          <w:rFonts w:ascii="Bookman Old Style" w:hAnsi="Bookman Old Style"/>
          <w:szCs w:val="24"/>
        </w:rPr>
        <w:t>example, through gross or repeated negligence, wil</w:t>
      </w:r>
      <w:r w:rsidR="00C841ED" w:rsidRPr="00FB77CC">
        <w:rPr>
          <w:rFonts w:ascii="Bookman Old Style" w:hAnsi="Bookman Old Style"/>
          <w:szCs w:val="24"/>
        </w:rPr>
        <w:t>l</w:t>
      </w:r>
      <w:r w:rsidR="0016206D" w:rsidRPr="00FB77CC">
        <w:rPr>
          <w:rFonts w:ascii="Bookman Old Style" w:hAnsi="Bookman Old Style"/>
          <w:szCs w:val="24"/>
        </w:rPr>
        <w:t>ful violation of reasonable work rules, or deliberate violation or disregard of standards of behavior that the employer has the right to expect of an employee; wil</w:t>
      </w:r>
      <w:r w:rsidR="00C841ED" w:rsidRPr="00FB77CC">
        <w:rPr>
          <w:rFonts w:ascii="Bookman Old Style" w:hAnsi="Bookman Old Style"/>
          <w:szCs w:val="24"/>
        </w:rPr>
        <w:t>l</w:t>
      </w:r>
      <w:r w:rsidR="0016206D" w:rsidRPr="00FB77CC">
        <w:rPr>
          <w:rFonts w:ascii="Bookman Old Style" w:hAnsi="Bookman Old Style"/>
          <w:szCs w:val="24"/>
        </w:rPr>
        <w:t>ful and wanton disregard of the employer's interest does not arise solely from inefficiency, unsatisfactory performance as the result of inability or incapacity, inadvertence,</w:t>
      </w:r>
      <w:r w:rsidRPr="00FB77CC">
        <w:rPr>
          <w:rFonts w:ascii="Bookman Old Style" w:hAnsi="Bookman Old Style"/>
          <w:szCs w:val="24"/>
        </w:rPr>
        <w:t xml:space="preserve"> </w:t>
      </w:r>
      <w:r w:rsidR="0016206D" w:rsidRPr="00FB77CC">
        <w:rPr>
          <w:rFonts w:ascii="Bookman Old Style" w:hAnsi="Bookman Old Style"/>
          <w:szCs w:val="24"/>
        </w:rPr>
        <w:t>ordinary negligence in isolated instances, or good faith errors in judgment or discretion....</w:t>
      </w:r>
    </w:p>
    <w:p w14:paraId="38D0144B" w14:textId="77777777" w:rsidR="0016206D" w:rsidRPr="00FB77CC" w:rsidRDefault="0016206D" w:rsidP="00FB77CC">
      <w:pPr>
        <w:tabs>
          <w:tab w:val="left" w:pos="-1440"/>
          <w:tab w:val="left" w:pos="-720"/>
          <w:tab w:val="left" w:pos="0"/>
          <w:tab w:val="left" w:pos="720"/>
          <w:tab w:val="left" w:pos="1440"/>
        </w:tabs>
        <w:suppressAutoHyphens/>
        <w:ind w:right="-360"/>
        <w:rPr>
          <w:rFonts w:ascii="Bookman Old Style" w:hAnsi="Bookman Old Style"/>
          <w:szCs w:val="24"/>
        </w:rPr>
      </w:pPr>
    </w:p>
    <w:p w14:paraId="21A752B2" w14:textId="77777777" w:rsidR="0016206D" w:rsidRPr="00FB77CC" w:rsidRDefault="0016206D" w:rsidP="00FB77CC">
      <w:pPr>
        <w:tabs>
          <w:tab w:val="center" w:pos="4860"/>
        </w:tabs>
        <w:suppressAutoHyphens/>
        <w:ind w:right="-360"/>
        <w:rPr>
          <w:rFonts w:ascii="Bookman Old Style" w:hAnsi="Bookman Old Style"/>
          <w:szCs w:val="24"/>
        </w:rPr>
      </w:pPr>
      <w:r w:rsidRPr="00FB77CC">
        <w:rPr>
          <w:rFonts w:ascii="Bookman Old Style" w:hAnsi="Bookman Old Style"/>
          <w:b/>
          <w:szCs w:val="24"/>
        </w:rPr>
        <w:tab/>
        <w:t>CONCLUSION</w:t>
      </w:r>
    </w:p>
    <w:p w14:paraId="2B1C3B26" w14:textId="77777777" w:rsidR="0016206D" w:rsidRPr="00FB77CC" w:rsidRDefault="0016206D" w:rsidP="00FB77CC">
      <w:pPr>
        <w:tabs>
          <w:tab w:val="left" w:pos="-1440"/>
          <w:tab w:val="left" w:pos="-720"/>
        </w:tabs>
        <w:suppressAutoHyphens/>
        <w:ind w:right="-360"/>
        <w:rPr>
          <w:rFonts w:ascii="Bookman Old Style" w:hAnsi="Bookman Old Style"/>
          <w:szCs w:val="24"/>
        </w:rPr>
      </w:pPr>
    </w:p>
    <w:p w14:paraId="7515FB64" w14:textId="09C39B47" w:rsidR="0016206D" w:rsidRDefault="003E68A2" w:rsidP="00FB77CC">
      <w:pPr>
        <w:tabs>
          <w:tab w:val="left" w:pos="-1440"/>
          <w:tab w:val="left" w:pos="-720"/>
        </w:tabs>
        <w:suppressAutoHyphens/>
        <w:ind w:right="-360"/>
        <w:rPr>
          <w:rFonts w:ascii="Bookman Old Style" w:hAnsi="Bookman Old Style"/>
          <w:szCs w:val="24"/>
        </w:rPr>
      </w:pPr>
      <w:r>
        <w:rPr>
          <w:rFonts w:ascii="Bookman Old Style" w:hAnsi="Bookman Old Style"/>
          <w:szCs w:val="24"/>
        </w:rPr>
        <w:t xml:space="preserve">The claimant in this case was discharged while she was quarantined because of her child’s COVID-19 contact.  The employer told the Division that the claimant was discharged for performance issues. </w:t>
      </w:r>
    </w:p>
    <w:p w14:paraId="1FAF2210" w14:textId="77777777" w:rsidR="00E456A8" w:rsidRDefault="00E456A8" w:rsidP="00E456A8">
      <w:pPr>
        <w:suppressAutoHyphens/>
        <w:spacing w:line="264" w:lineRule="auto"/>
        <w:rPr>
          <w:rFonts w:ascii="Bookman Old Style" w:hAnsi="Bookman Old Style"/>
          <w:spacing w:val="-3"/>
        </w:rPr>
      </w:pPr>
    </w:p>
    <w:p w14:paraId="1CBA7DB5" w14:textId="77777777" w:rsidR="00E456A8" w:rsidRDefault="00E456A8" w:rsidP="00E456A8">
      <w:pPr>
        <w:tabs>
          <w:tab w:val="left" w:pos="-360"/>
        </w:tabs>
        <w:ind w:left="720"/>
        <w:rPr>
          <w:rFonts w:ascii="Bookman Old Style" w:hAnsi="Bookman Old Style"/>
          <w:i/>
          <w:szCs w:val="24"/>
        </w:rPr>
      </w:pPr>
      <w:r>
        <w:rPr>
          <w:rFonts w:ascii="Bookman Old Style" w:hAnsi="Bookman Old Style"/>
          <w:i/>
          <w:szCs w:val="24"/>
        </w:rPr>
        <w:t xml:space="preserve">Misconduct cannot be established </w:t>
      </w:r>
      <w:proofErr w:type="gramStart"/>
      <w:r>
        <w:rPr>
          <w:rFonts w:ascii="Bookman Old Style" w:hAnsi="Bookman Old Style"/>
          <w:i/>
          <w:szCs w:val="24"/>
        </w:rPr>
        <w:t>on the basis of</w:t>
      </w:r>
      <w:proofErr w:type="gramEnd"/>
      <w:r>
        <w:rPr>
          <w:rFonts w:ascii="Bookman Old Style" w:hAnsi="Bookman Old Style"/>
          <w:i/>
          <w:szCs w:val="24"/>
        </w:rPr>
        <w:t xml:space="preserve"> unproven allegations. </w:t>
      </w:r>
      <w:r>
        <w:rPr>
          <w:rFonts w:ascii="Bookman Old Style" w:hAnsi="Bookman Old Style"/>
          <w:i/>
          <w:szCs w:val="24"/>
          <w:u w:val="single"/>
        </w:rPr>
        <w:t>Cole</w:t>
      </w:r>
      <w:r>
        <w:rPr>
          <w:rFonts w:ascii="Bookman Old Style" w:hAnsi="Bookman Old Style"/>
          <w:i/>
          <w:szCs w:val="24"/>
        </w:rPr>
        <w:t>, Com. Dec. 85HUI006, January 22, 1985.</w:t>
      </w:r>
    </w:p>
    <w:p w14:paraId="39753D94" w14:textId="77777777" w:rsidR="00E456A8" w:rsidRDefault="00E456A8" w:rsidP="00E456A8">
      <w:pPr>
        <w:tabs>
          <w:tab w:val="left" w:pos="-360"/>
        </w:tabs>
        <w:ind w:left="720"/>
        <w:rPr>
          <w:rFonts w:ascii="Bookman Old Style" w:hAnsi="Bookman Old Style"/>
          <w:i/>
          <w:szCs w:val="24"/>
        </w:rPr>
      </w:pPr>
    </w:p>
    <w:p w14:paraId="61C832C7" w14:textId="77777777" w:rsidR="00E456A8" w:rsidRDefault="00E456A8" w:rsidP="00E456A8">
      <w:pPr>
        <w:tabs>
          <w:tab w:val="left" w:pos="-360"/>
        </w:tabs>
        <w:ind w:left="720"/>
        <w:rPr>
          <w:rFonts w:ascii="Bookman Old Style" w:hAnsi="Bookman Old Style"/>
          <w:i/>
          <w:spacing w:val="-3"/>
          <w:szCs w:val="24"/>
        </w:rPr>
      </w:pPr>
      <w:r>
        <w:rPr>
          <w:rFonts w:ascii="Bookman Old Style" w:hAnsi="Bookman Old Style"/>
          <w:i/>
          <w:spacing w:val="-3"/>
          <w:szCs w:val="24"/>
        </w:rPr>
        <w:t xml:space="preserve">When a worker has been discharged, the burden of persuasion rests upon the employer to establish that the worker was discharged for misconduct in connection with the work. </w:t>
      </w:r>
      <w:proofErr w:type="gramStart"/>
      <w:r>
        <w:rPr>
          <w:rFonts w:ascii="Bookman Old Style" w:hAnsi="Bookman Old Style"/>
          <w:i/>
          <w:spacing w:val="-3"/>
          <w:szCs w:val="24"/>
        </w:rPr>
        <w:t>In order to</w:t>
      </w:r>
      <w:proofErr w:type="gramEnd"/>
      <w:r>
        <w:rPr>
          <w:rFonts w:ascii="Bookman Old Style" w:hAnsi="Bookman Old Style"/>
          <w:i/>
          <w:spacing w:val="-3"/>
          <w:szCs w:val="24"/>
        </w:rPr>
        <w:t xml:space="preserve"> bear out that burden, it is necessary </w:t>
      </w:r>
      <w:r>
        <w:rPr>
          <w:rFonts w:ascii="Bookman Old Style" w:hAnsi="Bookman Old Style"/>
          <w:i/>
          <w:spacing w:val="-3"/>
          <w:szCs w:val="24"/>
        </w:rPr>
        <w:lastRenderedPageBreak/>
        <w:t xml:space="preserve">that the employer bring forth evidence of a sufficient quantity and quality to establish that misconduct was involved. </w:t>
      </w:r>
      <w:proofErr w:type="spellStart"/>
      <w:r>
        <w:rPr>
          <w:rFonts w:ascii="Bookman Old Style" w:hAnsi="Bookman Old Style"/>
          <w:i/>
          <w:spacing w:val="-3"/>
          <w:szCs w:val="24"/>
          <w:u w:val="single"/>
        </w:rPr>
        <w:t>Rednal</w:t>
      </w:r>
      <w:proofErr w:type="spellEnd"/>
      <w:r>
        <w:rPr>
          <w:rFonts w:ascii="Bookman Old Style" w:hAnsi="Bookman Old Style"/>
          <w:i/>
          <w:spacing w:val="-3"/>
          <w:szCs w:val="24"/>
        </w:rPr>
        <w:t>, Com. Dec. 86H</w:t>
      </w:r>
      <w:r>
        <w:rPr>
          <w:rFonts w:ascii="Bookman Old Style" w:hAnsi="Bookman Old Style"/>
          <w:i/>
          <w:spacing w:val="-3"/>
          <w:szCs w:val="24"/>
        </w:rPr>
        <w:noBreakHyphen/>
        <w:t>UI-213, August 25, 1986.</w:t>
      </w:r>
    </w:p>
    <w:p w14:paraId="5850D83B" w14:textId="77777777" w:rsidR="00E456A8" w:rsidRDefault="00E456A8" w:rsidP="00E456A8">
      <w:pPr>
        <w:widowControl/>
        <w:tabs>
          <w:tab w:val="left" w:pos="-1440"/>
          <w:tab w:val="left" w:pos="-720"/>
          <w:tab w:val="left" w:pos="-360"/>
        </w:tabs>
        <w:suppressAutoHyphens/>
        <w:ind w:left="720"/>
        <w:rPr>
          <w:rFonts w:ascii="Bookman Old Style" w:hAnsi="Bookman Old Style"/>
          <w:szCs w:val="24"/>
        </w:rPr>
      </w:pPr>
    </w:p>
    <w:p w14:paraId="30842467" w14:textId="77777777" w:rsidR="00E456A8" w:rsidRDefault="00E456A8" w:rsidP="00E456A8">
      <w:pPr>
        <w:tabs>
          <w:tab w:val="left" w:pos="-1440"/>
          <w:tab w:val="left" w:pos="-720"/>
        </w:tabs>
        <w:suppressAutoHyphens/>
        <w:rPr>
          <w:rFonts w:ascii="Bookman Old Style" w:hAnsi="Bookman Old Style"/>
          <w:i/>
          <w:spacing w:val="-3"/>
        </w:rPr>
      </w:pPr>
      <w:r>
        <w:rPr>
          <w:rFonts w:ascii="Bookman Old Style" w:hAnsi="Bookman Old Style"/>
          <w:szCs w:val="24"/>
        </w:rPr>
        <w:t xml:space="preserve">The decision in this matter turns on the weight of the evidence. </w:t>
      </w:r>
      <w:r w:rsidRPr="000F6352">
        <w:rPr>
          <w:rFonts w:ascii="Bookman Old Style" w:hAnsi="Bookman Old Style"/>
          <w:szCs w:val="24"/>
        </w:rPr>
        <w:t xml:space="preserve">In </w:t>
      </w:r>
      <w:r w:rsidRPr="000F6352">
        <w:rPr>
          <w:rFonts w:ascii="Bookman Old Style" w:hAnsi="Bookman Old Style"/>
          <w:spacing w:val="-3"/>
          <w:u w:val="single"/>
        </w:rPr>
        <w:t>Weaver</w:t>
      </w:r>
      <w:r>
        <w:rPr>
          <w:rFonts w:ascii="Bookman Old Style" w:hAnsi="Bookman Old Style"/>
          <w:spacing w:val="-3"/>
        </w:rPr>
        <w:t>, Co</w:t>
      </w:r>
      <w:r w:rsidRPr="000F6352">
        <w:rPr>
          <w:rFonts w:ascii="Bookman Old Style" w:hAnsi="Bookman Old Style"/>
          <w:spacing w:val="-3"/>
        </w:rPr>
        <w:t>m. Dec. 96</w:t>
      </w:r>
      <w:proofErr w:type="gramStart"/>
      <w:r w:rsidRPr="000F6352">
        <w:rPr>
          <w:rFonts w:ascii="Bookman Old Style" w:hAnsi="Bookman Old Style"/>
          <w:spacing w:val="-3"/>
        </w:rPr>
        <w:t> 2687</w:t>
      </w:r>
      <w:proofErr w:type="gramEnd"/>
      <w:r w:rsidRPr="000F6352">
        <w:rPr>
          <w:rFonts w:ascii="Bookman Old Style" w:hAnsi="Bookman Old Style"/>
          <w:spacing w:val="-3"/>
        </w:rPr>
        <w:t>, February 13, 1997. The commissioner has held in part:</w:t>
      </w:r>
      <w:r>
        <w:rPr>
          <w:rFonts w:ascii="Bookman Old Style" w:hAnsi="Bookman Old Style"/>
          <w:szCs w:val="24"/>
        </w:rPr>
        <w:t xml:space="preserve"> </w:t>
      </w:r>
    </w:p>
    <w:p w14:paraId="58755C82" w14:textId="77777777" w:rsidR="00E456A8" w:rsidRDefault="00E456A8" w:rsidP="00E456A8">
      <w:pPr>
        <w:tabs>
          <w:tab w:val="left" w:pos="-1440"/>
          <w:tab w:val="left" w:pos="-720"/>
        </w:tabs>
        <w:suppressAutoHyphens/>
        <w:rPr>
          <w:rFonts w:ascii="Bookman Old Style" w:hAnsi="Bookman Old Style"/>
          <w:i/>
          <w:spacing w:val="-3"/>
        </w:rPr>
      </w:pPr>
    </w:p>
    <w:p w14:paraId="296ABFF2" w14:textId="77777777" w:rsidR="00E456A8" w:rsidRDefault="00E456A8" w:rsidP="00E456A8">
      <w:pPr>
        <w:tabs>
          <w:tab w:val="left" w:pos="-1440"/>
          <w:tab w:val="left" w:pos="-720"/>
        </w:tabs>
        <w:suppressAutoHyphens/>
        <w:ind w:left="720"/>
        <w:rPr>
          <w:rFonts w:ascii="Bookman Old Style" w:hAnsi="Bookman Old Style"/>
          <w:i/>
          <w:spacing w:val="-3"/>
        </w:rPr>
      </w:pPr>
      <w:r w:rsidRPr="00F73426">
        <w:rPr>
          <w:rFonts w:ascii="Bookman Old Style" w:hAnsi="Bookman Old Style"/>
          <w:i/>
          <w:spacing w:val="-3"/>
        </w:rPr>
        <w:t>Uncorroborated hearsay evidence must normally be given less weight than that of the sworn testimony of eyewitnesses to an event.  Only if first-hand testimony is clearly not credible, should hearsay statement</w:t>
      </w:r>
      <w:r>
        <w:rPr>
          <w:rFonts w:ascii="Bookman Old Style" w:hAnsi="Bookman Old Style"/>
          <w:i/>
          <w:spacing w:val="-3"/>
        </w:rPr>
        <w:t>s be considered more reliable.</w:t>
      </w:r>
    </w:p>
    <w:p w14:paraId="7F525CC9" w14:textId="77777777" w:rsidR="00E456A8" w:rsidRDefault="00E456A8" w:rsidP="00E456A8">
      <w:pPr>
        <w:tabs>
          <w:tab w:val="left" w:pos="-1440"/>
          <w:tab w:val="left" w:pos="-720"/>
        </w:tabs>
        <w:suppressAutoHyphens/>
        <w:ind w:left="720"/>
        <w:rPr>
          <w:rFonts w:ascii="Bookman Old Style" w:hAnsi="Bookman Old Style"/>
          <w:i/>
          <w:spacing w:val="-3"/>
        </w:rPr>
      </w:pPr>
    </w:p>
    <w:p w14:paraId="15BE7BDD" w14:textId="77777777" w:rsidR="00E456A8" w:rsidRDefault="00E456A8" w:rsidP="00E456A8">
      <w:pPr>
        <w:tabs>
          <w:tab w:val="left" w:pos="-1440"/>
          <w:tab w:val="left" w:pos="-720"/>
        </w:tabs>
        <w:suppressAutoHyphens/>
        <w:rPr>
          <w:rFonts w:ascii="Bookman Old Style" w:hAnsi="Bookman Old Style"/>
        </w:rPr>
      </w:pPr>
      <w:r>
        <w:rPr>
          <w:rFonts w:ascii="Bookman Old Style" w:hAnsi="Bookman Old Style"/>
          <w:szCs w:val="24"/>
        </w:rPr>
        <w:t xml:space="preserve">In </w:t>
      </w:r>
      <w:r w:rsidRPr="00561429">
        <w:rPr>
          <w:rFonts w:ascii="Bookman Old Style" w:hAnsi="Bookman Old Style"/>
          <w:u w:val="single"/>
        </w:rPr>
        <w:t>Douglas</w:t>
      </w:r>
      <w:r>
        <w:rPr>
          <w:rFonts w:ascii="Bookman Old Style" w:hAnsi="Bookman Old Style"/>
        </w:rPr>
        <w:t>, Co</w:t>
      </w:r>
      <w:r w:rsidRPr="00561429">
        <w:rPr>
          <w:rFonts w:ascii="Bookman Old Style" w:hAnsi="Bookman Old Style"/>
        </w:rPr>
        <w:t>m. Dec. 85H-UI-069, April 26, 198</w:t>
      </w:r>
      <w:r>
        <w:rPr>
          <w:rFonts w:ascii="Bookman Old Style" w:hAnsi="Bookman Old Style"/>
        </w:rPr>
        <w:t>5, paraphrasing AS 44.62.460(d), the commissioner held in part:</w:t>
      </w:r>
    </w:p>
    <w:p w14:paraId="47A2960A" w14:textId="77777777" w:rsidR="00E456A8" w:rsidRPr="00561429" w:rsidRDefault="00E456A8" w:rsidP="00E456A8">
      <w:pPr>
        <w:tabs>
          <w:tab w:val="left" w:pos="-1440"/>
          <w:tab w:val="left" w:pos="-720"/>
        </w:tabs>
        <w:suppressAutoHyphens/>
        <w:rPr>
          <w:rFonts w:ascii="Bookman Old Style" w:hAnsi="Bookman Old Style"/>
        </w:rPr>
      </w:pPr>
    </w:p>
    <w:p w14:paraId="4362E5C9" w14:textId="77777777" w:rsidR="00E456A8" w:rsidRPr="00F73426" w:rsidRDefault="00E456A8" w:rsidP="00E456A8">
      <w:pPr>
        <w:tabs>
          <w:tab w:val="left" w:pos="-1440"/>
          <w:tab w:val="left" w:pos="-720"/>
        </w:tabs>
        <w:suppressAutoHyphens/>
        <w:ind w:left="720"/>
        <w:rPr>
          <w:rFonts w:ascii="Bookman Old Style" w:hAnsi="Bookman Old Style"/>
          <w:i/>
        </w:rPr>
      </w:pPr>
      <w:r>
        <w:rPr>
          <w:rFonts w:ascii="Bookman Old Style" w:hAnsi="Bookman Old Style"/>
          <w:i/>
        </w:rPr>
        <w:t>“</w:t>
      </w:r>
      <w:r w:rsidRPr="00F73426">
        <w:rPr>
          <w:rFonts w:ascii="Bookman Old Style" w:hAnsi="Bookman Old Style"/>
          <w:i/>
        </w:rPr>
        <w:t>Hearsay evidence may be used to supplement or explain direct evidence but is, by itself, insufficient to support a finding unless that evidence would be admissible ov</w:t>
      </w:r>
      <w:r>
        <w:rPr>
          <w:rFonts w:ascii="Bookman Old Style" w:hAnsi="Bookman Old Style"/>
          <w:i/>
        </w:rPr>
        <w:t>er objection in a civil action”.</w:t>
      </w:r>
      <w:r w:rsidRPr="00F73426">
        <w:rPr>
          <w:rFonts w:ascii="Bookman Old Style" w:hAnsi="Bookman Old Style"/>
          <w:i/>
        </w:rPr>
        <w:t xml:space="preserve">  </w:t>
      </w:r>
    </w:p>
    <w:p w14:paraId="441615ED" w14:textId="77777777" w:rsidR="00E456A8" w:rsidRDefault="00E456A8" w:rsidP="00E456A8">
      <w:pPr>
        <w:widowControl/>
        <w:tabs>
          <w:tab w:val="left" w:pos="-1440"/>
          <w:tab w:val="left" w:pos="-720"/>
        </w:tabs>
        <w:suppressAutoHyphens/>
        <w:rPr>
          <w:rFonts w:ascii="Bookman Old Style" w:hAnsi="Bookman Old Style"/>
          <w:szCs w:val="24"/>
        </w:rPr>
      </w:pPr>
    </w:p>
    <w:p w14:paraId="1E5410FF" w14:textId="59066ECC" w:rsidR="00E456A8" w:rsidRDefault="00E456A8" w:rsidP="00E456A8">
      <w:pPr>
        <w:widowControl/>
        <w:tabs>
          <w:tab w:val="left" w:pos="-1440"/>
          <w:tab w:val="left" w:pos="-720"/>
        </w:tabs>
        <w:suppressAutoHyphens/>
        <w:rPr>
          <w:rFonts w:ascii="Bookman Old Style" w:hAnsi="Bookman Old Style"/>
          <w:szCs w:val="24"/>
        </w:rPr>
      </w:pPr>
      <w:r>
        <w:rPr>
          <w:rFonts w:ascii="Bookman Old Style" w:hAnsi="Bookman Old Style"/>
          <w:szCs w:val="24"/>
        </w:rPr>
        <w:t>The employer did not appear in the hearing, standing on the hearsay documents in the record. The claimant provided credible sworn testimony that she inspected her vehicle and informed the owner of issues needing attention, including the need for an oil change. The employer’s hearsay evidence does not establish that the claimant’s actions rose to the level of misconduct as described in Regulation 8 AAC 85.095(d), above.</w:t>
      </w:r>
    </w:p>
    <w:p w14:paraId="1A1CCFB2" w14:textId="77777777" w:rsidR="00E456A8" w:rsidRDefault="00E456A8" w:rsidP="00E456A8">
      <w:pPr>
        <w:widowControl/>
        <w:tabs>
          <w:tab w:val="left" w:pos="-1440"/>
          <w:tab w:val="left" w:pos="-720"/>
        </w:tabs>
        <w:suppressAutoHyphens/>
        <w:rPr>
          <w:rFonts w:ascii="Bookman Old Style" w:hAnsi="Bookman Old Style"/>
          <w:szCs w:val="24"/>
        </w:rPr>
      </w:pPr>
    </w:p>
    <w:p w14:paraId="5E5896F6" w14:textId="77777777" w:rsidR="00E456A8" w:rsidRDefault="00E456A8" w:rsidP="00E456A8">
      <w:pPr>
        <w:widowControl/>
        <w:tabs>
          <w:tab w:val="left" w:pos="-1440"/>
          <w:tab w:val="left" w:pos="-720"/>
        </w:tabs>
        <w:suppressAutoHyphens/>
        <w:rPr>
          <w:rFonts w:ascii="Bookman Old Style" w:hAnsi="Bookman Old Style"/>
          <w:szCs w:val="24"/>
        </w:rPr>
      </w:pPr>
      <w:r>
        <w:rPr>
          <w:rFonts w:ascii="Bookman Old Style" w:hAnsi="Bookman Old Style"/>
          <w:szCs w:val="24"/>
        </w:rPr>
        <w:t>The Tribunal does not question an employer’s right to discharge a claimant that does not meet its standards, but such a discharge is not always for misconduct.  The Tribunal finds the claimant in this case was discharged for reasons other than misconduct and thus the penalties of AS 23.20.379 are not appropriate.</w:t>
      </w:r>
    </w:p>
    <w:p w14:paraId="06FD4C56" w14:textId="77777777" w:rsidR="0016206D" w:rsidRPr="00FB77CC" w:rsidRDefault="0016206D" w:rsidP="00FB77CC">
      <w:pPr>
        <w:tabs>
          <w:tab w:val="left" w:pos="-1440"/>
          <w:tab w:val="left" w:pos="-720"/>
        </w:tabs>
        <w:suppressAutoHyphens/>
        <w:ind w:right="-360"/>
        <w:rPr>
          <w:rFonts w:ascii="Bookman Old Style" w:hAnsi="Bookman Old Style"/>
          <w:szCs w:val="24"/>
        </w:rPr>
      </w:pPr>
    </w:p>
    <w:p w14:paraId="3E662ADA" w14:textId="77777777" w:rsidR="0016206D" w:rsidRPr="00FB77CC" w:rsidRDefault="0016206D" w:rsidP="00FB77CC">
      <w:pPr>
        <w:tabs>
          <w:tab w:val="left" w:pos="-1440"/>
          <w:tab w:val="left" w:pos="-720"/>
        </w:tabs>
        <w:suppressAutoHyphens/>
        <w:jc w:val="center"/>
        <w:rPr>
          <w:rFonts w:ascii="Bookman Old Style" w:hAnsi="Bookman Old Style"/>
          <w:szCs w:val="24"/>
        </w:rPr>
      </w:pPr>
      <w:r w:rsidRPr="00FB77CC">
        <w:rPr>
          <w:rFonts w:ascii="Bookman Old Style" w:hAnsi="Bookman Old Style"/>
          <w:b/>
          <w:szCs w:val="24"/>
        </w:rPr>
        <w:t>DECISION</w:t>
      </w:r>
    </w:p>
    <w:p w14:paraId="7086BC18" w14:textId="77777777" w:rsidR="0016206D" w:rsidRPr="00FB77CC" w:rsidRDefault="0016206D" w:rsidP="00FB77CC">
      <w:pPr>
        <w:tabs>
          <w:tab w:val="left" w:pos="-1440"/>
          <w:tab w:val="left" w:pos="-720"/>
        </w:tabs>
        <w:suppressAutoHyphens/>
        <w:rPr>
          <w:rFonts w:ascii="Bookman Old Style" w:hAnsi="Bookman Old Style"/>
          <w:szCs w:val="24"/>
        </w:rPr>
      </w:pPr>
    </w:p>
    <w:p w14:paraId="2E59781E" w14:textId="57201776" w:rsidR="00FB77CC" w:rsidRPr="00E456A8" w:rsidRDefault="00FB77CC" w:rsidP="00E456A8">
      <w:pPr>
        <w:tabs>
          <w:tab w:val="left" w:pos="-1440"/>
          <w:tab w:val="left" w:pos="-720"/>
        </w:tabs>
        <w:suppressAutoHyphens/>
        <w:ind w:right="-360"/>
        <w:rPr>
          <w:rFonts w:ascii="Bookman Old Style" w:hAnsi="Bookman Old Style"/>
        </w:rPr>
      </w:pPr>
      <w:r w:rsidRPr="00E1431E">
        <w:rPr>
          <w:rFonts w:ascii="Bookman Old Style" w:hAnsi="Bookman Old Style"/>
        </w:rPr>
        <w:t xml:space="preserve">The determination issued on </w:t>
      </w:r>
      <w:r w:rsidR="00E456A8">
        <w:rPr>
          <w:rFonts w:ascii="Bookman Old Style" w:hAnsi="Bookman Old Style"/>
          <w:szCs w:val="24"/>
        </w:rPr>
        <w:t xml:space="preserve">March 30, </w:t>
      </w:r>
      <w:proofErr w:type="gramStart"/>
      <w:r w:rsidR="00E456A8">
        <w:rPr>
          <w:rFonts w:ascii="Bookman Old Style" w:hAnsi="Bookman Old Style"/>
          <w:szCs w:val="24"/>
        </w:rPr>
        <w:t>2021</w:t>
      </w:r>
      <w:proofErr w:type="gramEnd"/>
      <w:r w:rsidRPr="00E1431E">
        <w:rPr>
          <w:rFonts w:ascii="Bookman Old Style" w:hAnsi="Bookman Old Style"/>
        </w:rPr>
        <w:t xml:space="preserve"> is </w:t>
      </w:r>
      <w:r w:rsidR="00E456A8">
        <w:rPr>
          <w:rFonts w:ascii="Bookman Old Style" w:hAnsi="Bookman Old Style"/>
          <w:b/>
          <w:szCs w:val="24"/>
        </w:rPr>
        <w:t>REVERSED</w:t>
      </w:r>
      <w:r w:rsidRPr="00E1431E">
        <w:rPr>
          <w:rFonts w:ascii="Bookman Old Style" w:hAnsi="Bookman Old Style"/>
          <w:b/>
        </w:rPr>
        <w:t xml:space="preserve">. </w:t>
      </w:r>
      <w:r w:rsidRPr="00E1431E">
        <w:rPr>
          <w:rFonts w:ascii="Bookman Old Style" w:hAnsi="Bookman Old Style"/>
        </w:rPr>
        <w:t xml:space="preserve">Benefits are </w:t>
      </w:r>
      <w:r w:rsidRPr="00FB77CC">
        <w:rPr>
          <w:rFonts w:ascii="Bookman Old Style" w:hAnsi="Bookman Old Style"/>
          <w:b/>
        </w:rPr>
        <w:t>ALLOWED</w:t>
      </w:r>
      <w:r w:rsidRPr="00DC77EC">
        <w:rPr>
          <w:rFonts w:ascii="Bookman Old Style" w:hAnsi="Bookman Old Style"/>
        </w:rPr>
        <w:t xml:space="preserve"> </w:t>
      </w:r>
      <w:r w:rsidRPr="00E1431E">
        <w:rPr>
          <w:rFonts w:ascii="Bookman Old Style" w:hAnsi="Bookman Old Style"/>
        </w:rPr>
        <w:t xml:space="preserve">for the weeks ending </w:t>
      </w:r>
      <w:r w:rsidR="00E456A8">
        <w:rPr>
          <w:rFonts w:ascii="Bookman Old Style" w:hAnsi="Bookman Old Style"/>
          <w:szCs w:val="24"/>
        </w:rPr>
        <w:t xml:space="preserve">March 13, </w:t>
      </w:r>
      <w:proofErr w:type="gramStart"/>
      <w:r w:rsidR="00E456A8">
        <w:rPr>
          <w:rFonts w:ascii="Bookman Old Style" w:hAnsi="Bookman Old Style"/>
          <w:szCs w:val="24"/>
        </w:rPr>
        <w:t>2021</w:t>
      </w:r>
      <w:proofErr w:type="gramEnd"/>
      <w:r w:rsidR="00E456A8">
        <w:rPr>
          <w:rFonts w:ascii="Bookman Old Style" w:hAnsi="Bookman Old Style"/>
          <w:szCs w:val="24"/>
        </w:rPr>
        <w:t xml:space="preserve"> through April 17, 2021</w:t>
      </w:r>
      <w:r w:rsidRPr="00E1431E">
        <w:rPr>
          <w:rFonts w:ascii="Bookman Old Style" w:hAnsi="Bookman Old Style"/>
        </w:rPr>
        <w:t xml:space="preserve">, if otherwise eligible. The three weeks are restored to </w:t>
      </w:r>
      <w:r>
        <w:rPr>
          <w:rFonts w:ascii="Bookman Old Style" w:hAnsi="Bookman Old Style"/>
        </w:rPr>
        <w:t>the claimant’s</w:t>
      </w:r>
      <w:r w:rsidRPr="00E1431E">
        <w:rPr>
          <w:rFonts w:ascii="Bookman Old Style" w:hAnsi="Bookman Old Style"/>
        </w:rPr>
        <w:t xml:space="preserve"> maximum benefits. The determination will not interfere with the claimant’s eligibility for extended benefits</w:t>
      </w:r>
      <w:r>
        <w:rPr>
          <w:rFonts w:ascii="Bookman Old Style" w:hAnsi="Bookman Old Style"/>
        </w:rPr>
        <w:t xml:space="preserve"> under AS 23.20.406-409</w:t>
      </w:r>
      <w:r w:rsidRPr="00E1431E">
        <w:rPr>
          <w:rFonts w:ascii="Bookman Old Style" w:hAnsi="Bookman Old Style"/>
        </w:rPr>
        <w:t xml:space="preserve">. </w:t>
      </w:r>
    </w:p>
    <w:p w14:paraId="3961F5D5" w14:textId="77777777" w:rsidR="0016206D" w:rsidRPr="00FB77CC" w:rsidRDefault="0016206D" w:rsidP="00FB77CC">
      <w:pPr>
        <w:tabs>
          <w:tab w:val="left" w:pos="-1440"/>
          <w:tab w:val="left" w:pos="-720"/>
        </w:tabs>
        <w:suppressAutoHyphens/>
        <w:ind w:right="-360"/>
        <w:rPr>
          <w:rFonts w:ascii="Bookman Old Style" w:hAnsi="Bookman Old Style"/>
          <w:szCs w:val="24"/>
        </w:rPr>
      </w:pPr>
    </w:p>
    <w:p w14:paraId="7E20CB89" w14:textId="77777777" w:rsidR="0016206D" w:rsidRPr="00FB77CC" w:rsidRDefault="0016206D" w:rsidP="00FB77CC">
      <w:pPr>
        <w:tabs>
          <w:tab w:val="center" w:pos="4860"/>
        </w:tabs>
        <w:suppressAutoHyphens/>
        <w:ind w:right="-360"/>
        <w:rPr>
          <w:rFonts w:ascii="Bookman Old Style" w:hAnsi="Bookman Old Style"/>
          <w:szCs w:val="24"/>
        </w:rPr>
      </w:pPr>
      <w:r w:rsidRPr="00FB77CC">
        <w:rPr>
          <w:rFonts w:ascii="Bookman Old Style" w:hAnsi="Bookman Old Style"/>
          <w:b/>
          <w:szCs w:val="24"/>
        </w:rPr>
        <w:tab/>
        <w:t>APPEAL RIGHTS</w:t>
      </w:r>
    </w:p>
    <w:p w14:paraId="4B2D3AD5" w14:textId="77777777" w:rsidR="0016206D" w:rsidRPr="00FB77CC" w:rsidRDefault="0016206D" w:rsidP="00FB77CC">
      <w:pPr>
        <w:tabs>
          <w:tab w:val="left" w:pos="-1440"/>
          <w:tab w:val="left" w:pos="-720"/>
        </w:tabs>
        <w:suppressAutoHyphens/>
        <w:ind w:right="-360"/>
        <w:rPr>
          <w:rFonts w:ascii="Bookman Old Style" w:hAnsi="Bookman Old Style"/>
          <w:szCs w:val="24"/>
        </w:rPr>
      </w:pPr>
    </w:p>
    <w:p w14:paraId="2136E528" w14:textId="77777777" w:rsidR="00FB77CC" w:rsidRPr="006364B5" w:rsidRDefault="00FB77CC" w:rsidP="00FB77CC">
      <w:pPr>
        <w:rPr>
          <w:rFonts w:ascii="Bookman Old Style" w:hAnsi="Bookman Old Style"/>
          <w:szCs w:val="24"/>
        </w:rPr>
      </w:pPr>
      <w:r w:rsidRPr="006364B5">
        <w:rPr>
          <w:rFonts w:ascii="Bookman Old Style" w:hAnsi="Bookman Old Style"/>
          <w:szCs w:val="24"/>
        </w:rPr>
        <w:t>This decision is final unless an</w:t>
      </w:r>
      <w:r w:rsidRPr="00E633E8">
        <w:rPr>
          <w:rFonts w:ascii="Bookman Old Style" w:hAnsi="Bookman Old Style"/>
          <w:sz w:val="28"/>
          <w:szCs w:val="24"/>
        </w:rPr>
        <w:t xml:space="preserve"> </w:t>
      </w:r>
      <w:r w:rsidRPr="006364B5">
        <w:rPr>
          <w:rFonts w:ascii="Bookman Old Style" w:hAnsi="Bookman Old Style"/>
          <w:szCs w:val="24"/>
        </w:rPr>
        <w:t xml:space="preserve">appeal is filed </w:t>
      </w:r>
      <w:r>
        <w:rPr>
          <w:rFonts w:ascii="Bookman Old Style" w:hAnsi="Bookman Old Style"/>
          <w:szCs w:val="24"/>
        </w:rPr>
        <w:t xml:space="preserve">in writing </w:t>
      </w:r>
      <w:r w:rsidRPr="006364B5">
        <w:rPr>
          <w:rFonts w:ascii="Bookman Old Style" w:hAnsi="Bookman Old Style"/>
          <w:szCs w:val="24"/>
        </w:rPr>
        <w:t>to the Commissioner of Labor and W</w:t>
      </w:r>
      <w:r>
        <w:rPr>
          <w:rFonts w:ascii="Bookman Old Style" w:hAnsi="Bookman Old Style"/>
          <w:szCs w:val="24"/>
        </w:rPr>
        <w:t xml:space="preserve">orkforce Development </w:t>
      </w:r>
      <w:r w:rsidRPr="000B5CEB">
        <w:rPr>
          <w:rFonts w:ascii="Bookman Old Style" w:hAnsi="Bookman Old Style"/>
          <w:b/>
          <w:szCs w:val="24"/>
          <w:u w:val="single"/>
        </w:rPr>
        <w:t>within 30 days</w:t>
      </w:r>
      <w:r w:rsidRPr="006364B5">
        <w:rPr>
          <w:rFonts w:ascii="Bookman Old Style" w:hAnsi="Bookman Old Style"/>
          <w:szCs w:val="24"/>
        </w:rPr>
        <w:t xml:space="preserve"> after the decision is mailed to each party. The appeal period may be extended only if the appeal is delayed </w:t>
      </w:r>
      <w:r w:rsidRPr="006364B5">
        <w:rPr>
          <w:rFonts w:ascii="Bookman Old Style" w:hAnsi="Bookman Old Style"/>
          <w:szCs w:val="24"/>
        </w:rPr>
        <w:lastRenderedPageBreak/>
        <w:t>for circumstances beyond the party’s control. A statement of rights and procedures is enclosed.</w:t>
      </w:r>
    </w:p>
    <w:p w14:paraId="5201F8F6" w14:textId="77777777" w:rsidR="0016206D" w:rsidRPr="00FB77CC" w:rsidRDefault="0016206D" w:rsidP="00FB77CC">
      <w:pPr>
        <w:tabs>
          <w:tab w:val="left" w:pos="-1440"/>
          <w:tab w:val="left" w:pos="-720"/>
        </w:tabs>
        <w:suppressAutoHyphens/>
        <w:rPr>
          <w:rFonts w:ascii="Bookman Old Style" w:hAnsi="Bookman Old Style"/>
          <w:szCs w:val="24"/>
        </w:rPr>
      </w:pPr>
    </w:p>
    <w:p w14:paraId="30B8CF82" w14:textId="3B73FE7C" w:rsidR="0016206D" w:rsidRPr="00FB77CC" w:rsidRDefault="00AC4900" w:rsidP="00FB77CC">
      <w:pPr>
        <w:tabs>
          <w:tab w:val="left" w:pos="-1440"/>
          <w:tab w:val="left" w:pos="-720"/>
        </w:tabs>
        <w:suppressAutoHyphens/>
        <w:rPr>
          <w:rFonts w:ascii="Bookman Old Style" w:hAnsi="Bookman Old Style"/>
          <w:szCs w:val="24"/>
        </w:rPr>
      </w:pPr>
      <w:r w:rsidRPr="00FB77CC">
        <w:rPr>
          <w:rFonts w:ascii="Bookman Old Style" w:hAnsi="Bookman Old Style"/>
          <w:szCs w:val="24"/>
        </w:rPr>
        <w:t>Dated and m</w:t>
      </w:r>
      <w:r w:rsidR="0016206D" w:rsidRPr="00FB77CC">
        <w:rPr>
          <w:rFonts w:ascii="Bookman Old Style" w:hAnsi="Bookman Old Style"/>
          <w:szCs w:val="24"/>
        </w:rPr>
        <w:t xml:space="preserve">ailed on </w:t>
      </w:r>
      <w:r w:rsidR="00E456A8">
        <w:rPr>
          <w:rFonts w:ascii="Bookman Old Style" w:hAnsi="Bookman Old Style"/>
          <w:szCs w:val="24"/>
        </w:rPr>
        <w:t>October 6, 2021</w:t>
      </w:r>
      <w:r w:rsidR="0016206D" w:rsidRPr="00FB77CC">
        <w:rPr>
          <w:rFonts w:ascii="Bookman Old Style" w:hAnsi="Bookman Old Style"/>
          <w:szCs w:val="24"/>
        </w:rPr>
        <w:t>.</w:t>
      </w:r>
    </w:p>
    <w:p w14:paraId="3CFD7569" w14:textId="77777777" w:rsidR="0016206D" w:rsidRPr="00FB77CC" w:rsidRDefault="0016206D" w:rsidP="00FB77CC">
      <w:pPr>
        <w:tabs>
          <w:tab w:val="left" w:pos="-1440"/>
          <w:tab w:val="left" w:pos="-720"/>
        </w:tabs>
        <w:suppressAutoHyphens/>
        <w:rPr>
          <w:rFonts w:ascii="Bookman Old Style" w:hAnsi="Bookman Old Style"/>
          <w:szCs w:val="24"/>
        </w:rPr>
      </w:pPr>
    </w:p>
    <w:p w14:paraId="628E060C" w14:textId="77777777" w:rsidR="0016206D" w:rsidRPr="00FB77CC" w:rsidRDefault="00246F0A" w:rsidP="00FB77CC">
      <w:pPr>
        <w:tabs>
          <w:tab w:val="left" w:pos="-1440"/>
          <w:tab w:val="left" w:pos="-720"/>
        </w:tabs>
        <w:suppressAutoHyphens/>
        <w:rPr>
          <w:rFonts w:ascii="Bookman Old Style" w:hAnsi="Bookman Old Style"/>
          <w:szCs w:val="24"/>
        </w:rPr>
      </w:pP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t xml:space="preserve">       </w:t>
      </w:r>
    </w:p>
    <w:p w14:paraId="7D8AF071" w14:textId="77777777" w:rsidR="005E68FF" w:rsidRPr="00FB77CC" w:rsidRDefault="005E68FF" w:rsidP="00FB77CC">
      <w:pPr>
        <w:tabs>
          <w:tab w:val="left" w:pos="-1440"/>
          <w:tab w:val="left" w:pos="-720"/>
        </w:tabs>
        <w:suppressAutoHyphens/>
        <w:rPr>
          <w:rFonts w:ascii="Bookman Old Style" w:hAnsi="Bookman Old Style"/>
          <w:szCs w:val="24"/>
        </w:rPr>
      </w:pPr>
    </w:p>
    <w:p w14:paraId="56372971" w14:textId="77777777" w:rsidR="005E68FF" w:rsidRPr="00FB77CC" w:rsidRDefault="005E68FF" w:rsidP="00FB77CC">
      <w:pPr>
        <w:tabs>
          <w:tab w:val="left" w:pos="-1440"/>
          <w:tab w:val="left" w:pos="-720"/>
        </w:tabs>
        <w:suppressAutoHyphens/>
        <w:rPr>
          <w:rFonts w:ascii="Bookman Old Style" w:hAnsi="Bookman Old Style"/>
          <w:szCs w:val="24"/>
        </w:rPr>
      </w:pPr>
    </w:p>
    <w:p w14:paraId="1D3DC0C6" w14:textId="5DE96AC3" w:rsidR="0016206D" w:rsidRPr="00FB77CC" w:rsidRDefault="0016206D" w:rsidP="00FB77CC">
      <w:pPr>
        <w:tabs>
          <w:tab w:val="left" w:pos="-1440"/>
          <w:tab w:val="left" w:pos="-720"/>
        </w:tabs>
        <w:suppressAutoHyphens/>
        <w:rPr>
          <w:rFonts w:ascii="Bookman Old Style" w:hAnsi="Bookman Old Style"/>
          <w:szCs w:val="24"/>
        </w:rPr>
      </w:pP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00246F0A" w:rsidRPr="00FB77CC">
        <w:rPr>
          <w:rFonts w:ascii="Bookman Old Style" w:hAnsi="Bookman Old Style"/>
          <w:szCs w:val="24"/>
        </w:rPr>
        <w:t xml:space="preserve">  </w:t>
      </w:r>
      <w:r w:rsidR="007264A1" w:rsidRPr="00FB77CC">
        <w:rPr>
          <w:rFonts w:ascii="Bookman Old Style" w:hAnsi="Bookman Old Style"/>
          <w:szCs w:val="24"/>
        </w:rPr>
        <w:t xml:space="preserve">    </w:t>
      </w:r>
      <w:r w:rsidR="00E456A8">
        <w:rPr>
          <w:rFonts w:ascii="Bookman Old Style" w:hAnsi="Bookman Old Style"/>
          <w:szCs w:val="24"/>
        </w:rPr>
        <w:t>Rhonda Buness</w:t>
      </w:r>
      <w:r w:rsidR="00C841ED" w:rsidRPr="00FB77CC">
        <w:rPr>
          <w:rFonts w:ascii="Bookman Old Style" w:hAnsi="Bookman Old Style"/>
          <w:szCs w:val="24"/>
        </w:rPr>
        <w:t xml:space="preserve">, </w:t>
      </w:r>
      <w:r w:rsidR="000421BE">
        <w:rPr>
          <w:rFonts w:ascii="Bookman Old Style" w:hAnsi="Bookman Old Style"/>
          <w:szCs w:val="24"/>
        </w:rPr>
        <w:t>Appeals</w:t>
      </w:r>
      <w:r w:rsidRPr="00FB77CC">
        <w:rPr>
          <w:rFonts w:ascii="Bookman Old Style" w:hAnsi="Bookman Old Style"/>
          <w:szCs w:val="24"/>
        </w:rPr>
        <w:t xml:space="preserve"> Officer</w:t>
      </w:r>
    </w:p>
    <w:sectPr w:rsidR="0016206D" w:rsidRPr="00FB77CC" w:rsidSect="005A25FF">
      <w:headerReference w:type="default" r:id="rId8"/>
      <w:endnotePr>
        <w:numFmt w:val="decimal"/>
      </w:endnotePr>
      <w:pgSz w:w="12240" w:h="15840"/>
      <w:pgMar w:top="432"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36A6F" w14:textId="77777777" w:rsidR="009D2381" w:rsidRDefault="009D2381">
      <w:pPr>
        <w:widowControl/>
        <w:spacing w:line="20" w:lineRule="exact"/>
      </w:pPr>
    </w:p>
  </w:endnote>
  <w:endnote w:type="continuationSeparator" w:id="0">
    <w:p w14:paraId="6843B5DE" w14:textId="77777777" w:rsidR="009D2381" w:rsidRDefault="009D2381">
      <w:r>
        <w:t xml:space="preserve"> </w:t>
      </w:r>
    </w:p>
  </w:endnote>
  <w:endnote w:type="continuationNotice" w:id="1">
    <w:p w14:paraId="38EAA6E7" w14:textId="77777777" w:rsidR="009D2381" w:rsidRDefault="009D238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FA557" w14:textId="77777777" w:rsidR="009D2381" w:rsidRDefault="009D2381">
      <w:r>
        <w:separator/>
      </w:r>
    </w:p>
  </w:footnote>
  <w:footnote w:type="continuationSeparator" w:id="0">
    <w:p w14:paraId="657A02D3" w14:textId="77777777" w:rsidR="009D2381" w:rsidRDefault="009D23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07F70" w14:textId="44369D65" w:rsidR="0016206D" w:rsidRPr="00E20135" w:rsidRDefault="009312D8">
    <w:pPr>
      <w:pStyle w:val="Header"/>
      <w:rPr>
        <w:rFonts w:ascii="Bookman Old Style" w:hAnsi="Bookman Old Style"/>
      </w:rPr>
    </w:pPr>
    <w:r>
      <w:rPr>
        <w:rFonts w:ascii="Bookman Old Style" w:hAnsi="Bookman Old Style"/>
      </w:rPr>
      <w:t>D</w:t>
    </w:r>
    <w:r w:rsidR="00DF3786">
      <w:rPr>
        <w:rFonts w:ascii="Bookman Old Style" w:hAnsi="Bookman Old Style"/>
      </w:rPr>
      <w:t>ocket</w:t>
    </w:r>
    <w:r>
      <w:rPr>
        <w:rFonts w:ascii="Bookman Old Style" w:hAnsi="Bookman Old Style"/>
      </w:rPr>
      <w:t>#</w:t>
    </w:r>
    <w:r w:rsidR="00DF3786">
      <w:rPr>
        <w:rFonts w:ascii="Bookman Old Style" w:hAnsi="Bookman Old Style"/>
      </w:rPr>
      <w:t xml:space="preserve"> </w:t>
    </w:r>
    <w:r w:rsidR="003E68A2">
      <w:rPr>
        <w:rFonts w:ascii="Bookman Old Style" w:hAnsi="Bookman Old Style"/>
      </w:rPr>
      <w:t>21 0623</w:t>
    </w:r>
  </w:p>
  <w:p w14:paraId="4195C9F3" w14:textId="77777777" w:rsidR="0016206D" w:rsidRPr="00E20135" w:rsidRDefault="0016206D">
    <w:pPr>
      <w:pStyle w:val="Header"/>
      <w:rPr>
        <w:rStyle w:val="PageNumber"/>
        <w:rFonts w:ascii="Bookman Old Style" w:hAnsi="Bookman Old Style"/>
      </w:rPr>
    </w:pPr>
    <w:r w:rsidRPr="00E20135">
      <w:rPr>
        <w:rFonts w:ascii="Bookman Old Style" w:hAnsi="Bookman Old Style"/>
      </w:rPr>
      <w:t xml:space="preserve">Page </w:t>
    </w:r>
    <w:r w:rsidRPr="00E20135">
      <w:rPr>
        <w:rStyle w:val="PageNumber"/>
        <w:rFonts w:ascii="Bookman Old Style" w:hAnsi="Bookman Old Style"/>
      </w:rPr>
      <w:fldChar w:fldCharType="begin"/>
    </w:r>
    <w:r w:rsidRPr="00E20135">
      <w:rPr>
        <w:rStyle w:val="PageNumber"/>
        <w:rFonts w:ascii="Bookman Old Style" w:hAnsi="Bookman Old Style"/>
      </w:rPr>
      <w:instrText xml:space="preserve"> PAGE </w:instrText>
    </w:r>
    <w:r w:rsidRPr="00E20135">
      <w:rPr>
        <w:rStyle w:val="PageNumber"/>
        <w:rFonts w:ascii="Bookman Old Style" w:hAnsi="Bookman Old Style"/>
      </w:rPr>
      <w:fldChar w:fldCharType="separate"/>
    </w:r>
    <w:r w:rsidR="001E566D">
      <w:rPr>
        <w:rStyle w:val="PageNumber"/>
        <w:rFonts w:ascii="Bookman Old Style" w:hAnsi="Bookman Old Style"/>
        <w:noProof/>
      </w:rPr>
      <w:t>2</w:t>
    </w:r>
    <w:r w:rsidRPr="00E20135">
      <w:rPr>
        <w:rStyle w:val="PageNumber"/>
        <w:rFonts w:ascii="Bookman Old Style" w:hAnsi="Bookman Old Style"/>
      </w:rPr>
      <w:fldChar w:fldCharType="end"/>
    </w:r>
  </w:p>
  <w:p w14:paraId="2A713616" w14:textId="77777777" w:rsidR="0016206D" w:rsidRPr="00E20135" w:rsidRDefault="0016206D">
    <w:pPr>
      <w:pStyle w:val="Header"/>
      <w:rPr>
        <w:rFonts w:ascii="Bookman Old Style" w:hAnsi="Bookman Old Sty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77D74"/>
    <w:multiLevelType w:val="singleLevel"/>
    <w:tmpl w:val="5ED69F8C"/>
    <w:lvl w:ilvl="0">
      <w:start w:val="1"/>
      <w:numFmt w:val="decimal"/>
      <w:lvlText w:val="(%1)"/>
      <w:lvlJc w:val="left"/>
      <w:pPr>
        <w:tabs>
          <w:tab w:val="num" w:pos="2160"/>
        </w:tabs>
        <w:ind w:left="216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D2381"/>
    <w:rsid w:val="00015E49"/>
    <w:rsid w:val="000421BE"/>
    <w:rsid w:val="00074ABC"/>
    <w:rsid w:val="000B1B0E"/>
    <w:rsid w:val="000C468C"/>
    <w:rsid w:val="0016206D"/>
    <w:rsid w:val="00184E40"/>
    <w:rsid w:val="001A7E8E"/>
    <w:rsid w:val="001E566D"/>
    <w:rsid w:val="00246F0A"/>
    <w:rsid w:val="002C0A6B"/>
    <w:rsid w:val="0030752B"/>
    <w:rsid w:val="003330EC"/>
    <w:rsid w:val="0037410D"/>
    <w:rsid w:val="003A08AE"/>
    <w:rsid w:val="003E68A2"/>
    <w:rsid w:val="003F54EA"/>
    <w:rsid w:val="00414E35"/>
    <w:rsid w:val="00454952"/>
    <w:rsid w:val="00527085"/>
    <w:rsid w:val="005840C2"/>
    <w:rsid w:val="005A25FF"/>
    <w:rsid w:val="005D69D2"/>
    <w:rsid w:val="005E68FF"/>
    <w:rsid w:val="006E4A6A"/>
    <w:rsid w:val="006E67C4"/>
    <w:rsid w:val="007264A1"/>
    <w:rsid w:val="00803703"/>
    <w:rsid w:val="009312D8"/>
    <w:rsid w:val="00965B24"/>
    <w:rsid w:val="009D2381"/>
    <w:rsid w:val="00A775FC"/>
    <w:rsid w:val="00A94C46"/>
    <w:rsid w:val="00AC29BB"/>
    <w:rsid w:val="00AC4900"/>
    <w:rsid w:val="00B823B5"/>
    <w:rsid w:val="00BA0720"/>
    <w:rsid w:val="00BE5A90"/>
    <w:rsid w:val="00C12590"/>
    <w:rsid w:val="00C841ED"/>
    <w:rsid w:val="00CB34CC"/>
    <w:rsid w:val="00D1304C"/>
    <w:rsid w:val="00DE12B1"/>
    <w:rsid w:val="00DF3786"/>
    <w:rsid w:val="00E1431E"/>
    <w:rsid w:val="00E1587B"/>
    <w:rsid w:val="00E20135"/>
    <w:rsid w:val="00E456A8"/>
    <w:rsid w:val="00E460EE"/>
    <w:rsid w:val="00FB77CC"/>
    <w:rsid w:val="00FD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4A666277"/>
  <w15:chartTrackingRefBased/>
  <w15:docId w15:val="{C83D6E7D-D33C-4AFA-8FC3-B82598A01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042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16%20Misconduc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16 Misconduct</Template>
  <TotalTime>0</TotalTime>
  <Pages>4</Pages>
  <Words>1028</Words>
  <Characters>5358</Characters>
  <Application>Microsoft Office Word</Application>
  <DocSecurity>0</DocSecurity>
  <Lines>148</Lines>
  <Paragraphs>46</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
  <LinksUpToDate>false</LinksUpToDate>
  <CharactersWithSpaces>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1900-01-01T09:00:00Z</cp:lastPrinted>
  <dcterms:created xsi:type="dcterms:W3CDTF">2021-10-06T23:41:00Z</dcterms:created>
  <dcterms:modified xsi:type="dcterms:W3CDTF">2021-10-06T23:41:00Z</dcterms:modified>
</cp:coreProperties>
</file>