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304946" w:rsidRDefault="00C03E8B" w:rsidP="00304946">
      <w:pPr>
        <w:widowControl/>
        <w:tabs>
          <w:tab w:val="center" w:pos="4680"/>
        </w:tabs>
        <w:suppressAutoHyphens/>
        <w:jc w:val="center"/>
        <w:rPr>
          <w:rFonts w:ascii="Bookman Old Style" w:hAnsi="Bookman Old Style"/>
          <w:b/>
          <w:szCs w:val="24"/>
        </w:rPr>
      </w:pPr>
      <w:r>
        <w:rPr>
          <w:noProof/>
        </w:rPr>
        <w:drawing>
          <wp:anchor distT="0" distB="0" distL="114300" distR="114300" simplePos="0" relativeHeight="251657728" behindDoc="1" locked="0" layoutInCell="1" allowOverlap="1">
            <wp:simplePos x="0" y="0"/>
            <wp:positionH relativeFrom="margin">
              <wp:align>center</wp:align>
            </wp:positionH>
            <wp:positionV relativeFrom="paragraph">
              <wp:posOffset>-457835</wp:posOffset>
            </wp:positionV>
            <wp:extent cx="7453630" cy="1750060"/>
            <wp:effectExtent l="0" t="0" r="0" b="2540"/>
            <wp:wrapNone/>
            <wp:docPr id="3"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widowControl/>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rsidR="00780095" w:rsidRPr="00304946" w:rsidRDefault="00780095" w:rsidP="00304946">
      <w:pPr>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B851A5">
        <w:rPr>
          <w:rFonts w:ascii="Bookman Old Style" w:hAnsi="Bookman Old Style"/>
          <w:szCs w:val="24"/>
        </w:rPr>
        <w:t>21 0722</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B851A5">
        <w:rPr>
          <w:rFonts w:ascii="Bookman Old Style" w:hAnsi="Bookman Old Style"/>
          <w:szCs w:val="24"/>
        </w:rPr>
        <w:t>September 9, 2021</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t>EMPLOYER:</w:t>
      </w:r>
      <w:r w:rsidRPr="00304946">
        <w:rPr>
          <w:rFonts w:ascii="Bookman Old Style" w:hAnsi="Bookman Old Style"/>
          <w:b/>
          <w:szCs w:val="24"/>
        </w:rPr>
        <w:tab/>
      </w:r>
    </w:p>
    <w:p w:rsidR="00B851A5" w:rsidRDefault="00B851A5" w:rsidP="00304946">
      <w:pPr>
        <w:tabs>
          <w:tab w:val="left" w:pos="-1440"/>
          <w:tab w:val="left" w:pos="-720"/>
          <w:tab w:val="left" w:pos="0"/>
          <w:tab w:val="left" w:pos="5760"/>
        </w:tabs>
        <w:suppressAutoHyphens/>
        <w:ind w:right="-360"/>
        <w:rPr>
          <w:rFonts w:ascii="Bookman Old Style" w:hAnsi="Bookman Old Style"/>
          <w:szCs w:val="24"/>
        </w:rPr>
      </w:pPr>
    </w:p>
    <w:p w:rsidR="00780095" w:rsidRDefault="00B851A5"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ADAM WRHIGHT</w:t>
      </w:r>
      <w:r w:rsidR="004F7405" w:rsidRPr="00304946">
        <w:rPr>
          <w:rFonts w:ascii="Bookman Old Style" w:hAnsi="Bookman Old Style"/>
          <w:szCs w:val="24"/>
        </w:rPr>
        <w:tab/>
      </w:r>
      <w:r>
        <w:rPr>
          <w:rFonts w:ascii="Bookman Old Style" w:hAnsi="Bookman Old Style"/>
          <w:szCs w:val="24"/>
        </w:rPr>
        <w:t>NORT</w:t>
      </w:r>
      <w:r w:rsidR="000727D8">
        <w:rPr>
          <w:rFonts w:ascii="Bookman Old Style" w:hAnsi="Bookman Old Style"/>
          <w:szCs w:val="24"/>
        </w:rPr>
        <w:t>H</w:t>
      </w:r>
      <w:r>
        <w:rPr>
          <w:rFonts w:ascii="Bookman Old Style" w:hAnsi="Bookman Old Style"/>
          <w:szCs w:val="24"/>
        </w:rPr>
        <w:t>ERN HOSPITALITY GROUP</w:t>
      </w:r>
    </w:p>
    <w:p w:rsidR="002976AB" w:rsidRDefault="002976AB" w:rsidP="00304946">
      <w:pPr>
        <w:tabs>
          <w:tab w:val="left" w:pos="-1440"/>
          <w:tab w:val="left" w:pos="-720"/>
          <w:tab w:val="left" w:pos="0"/>
          <w:tab w:val="left" w:pos="5760"/>
        </w:tabs>
        <w:suppressAutoHyphens/>
        <w:ind w:right="-360"/>
        <w:rPr>
          <w:rFonts w:ascii="Bookman Old Style" w:hAnsi="Bookman Old Style"/>
          <w:szCs w:val="24"/>
        </w:rPr>
      </w:pPr>
    </w:p>
    <w:p w:rsidR="002976AB" w:rsidRDefault="002976AB" w:rsidP="00304946">
      <w:pPr>
        <w:tabs>
          <w:tab w:val="left" w:pos="-1440"/>
          <w:tab w:val="left" w:pos="-720"/>
          <w:tab w:val="left" w:pos="0"/>
          <w:tab w:val="left" w:pos="5760"/>
        </w:tabs>
        <w:suppressAutoHyphens/>
        <w:ind w:right="-360"/>
        <w:rPr>
          <w:rFonts w:ascii="Bookman Old Style" w:hAnsi="Bookman Old Style"/>
          <w:szCs w:val="24"/>
        </w:rPr>
      </w:pPr>
    </w:p>
    <w:p w:rsidR="002976AB" w:rsidRDefault="002976AB"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bookmarkStart w:id="0" w:name="_GoBack"/>
      <w:bookmarkEnd w:id="0"/>
      <w:r w:rsidRPr="00304946">
        <w:rPr>
          <w:rFonts w:ascii="Bookman Old Style" w:hAnsi="Bookman Old Style"/>
          <w:b/>
          <w:szCs w:val="24"/>
        </w:rPr>
        <w:t>CLAIMANT APPEARANCES:</w:t>
      </w:r>
      <w:r w:rsidRPr="00304946">
        <w:rPr>
          <w:rFonts w:ascii="Bookman Old Style" w:hAnsi="Bookman Old Style"/>
          <w:b/>
          <w:szCs w:val="24"/>
        </w:rPr>
        <w:tab/>
      </w:r>
      <w:r w:rsidR="004F7405" w:rsidRPr="00304946">
        <w:rPr>
          <w:rFonts w:ascii="Bookman Old Style" w:hAnsi="Bookman Old Style"/>
          <w:b/>
          <w:szCs w:val="24"/>
        </w:rPr>
        <w:t>EMPLOYER</w:t>
      </w:r>
      <w:r w:rsidR="00E13AAA" w:rsidRPr="00304946">
        <w:rPr>
          <w:rFonts w:ascii="Bookman Old Style" w:hAnsi="Bookman Old Style"/>
          <w:b/>
          <w:szCs w:val="24"/>
        </w:rPr>
        <w:t xml:space="preserve"> APPEARANCES:</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B851A5"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Adam Richardson</w:t>
      </w:r>
      <w:r w:rsidR="00780095" w:rsidRPr="00304946">
        <w:rPr>
          <w:rFonts w:ascii="Bookman Old Style" w:hAnsi="Bookman Old Style"/>
          <w:szCs w:val="24"/>
        </w:rPr>
        <w:tab/>
      </w:r>
      <w:r>
        <w:rPr>
          <w:rFonts w:ascii="Bookman Old Style" w:hAnsi="Bookman Old Style"/>
          <w:szCs w:val="24"/>
        </w:rPr>
        <w:t>None</w:t>
      </w:r>
    </w:p>
    <w:p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rsidR="0078796F" w:rsidRPr="00304946" w:rsidRDefault="00780095" w:rsidP="00304946">
      <w:pPr>
        <w:pStyle w:val="Heading4"/>
        <w:jc w:val="center"/>
        <w:rPr>
          <w:rFonts w:ascii="Bookman Old Style" w:hAnsi="Bookman Old Style"/>
          <w:i w:val="0"/>
          <w:color w:val="auto"/>
          <w:szCs w:val="24"/>
        </w:rPr>
      </w:pPr>
      <w:r w:rsidRPr="00304946">
        <w:rPr>
          <w:rFonts w:ascii="Bookman Old Style" w:hAnsi="Bookman Old Style"/>
          <w:b w:val="0"/>
          <w:color w:val="auto"/>
          <w:szCs w:val="24"/>
        </w:rPr>
        <w:tab/>
      </w:r>
      <w:r w:rsidR="00BD2E24">
        <w:rPr>
          <w:rFonts w:ascii="Bookman Old Style" w:hAnsi="Bookman Old Style"/>
          <w:i w:val="0"/>
          <w:color w:val="auto"/>
          <w:szCs w:val="24"/>
        </w:rPr>
        <w:t>CASE HISTORY</w:t>
      </w:r>
    </w:p>
    <w:p w:rsidR="0078796F" w:rsidRPr="00304946" w:rsidRDefault="0078796F" w:rsidP="00304946">
      <w:pPr>
        <w:tabs>
          <w:tab w:val="left" w:pos="-1440"/>
          <w:tab w:val="left" w:pos="-720"/>
        </w:tabs>
        <w:rPr>
          <w:rFonts w:ascii="Bookman Old Style" w:hAnsi="Bookman Old Style"/>
          <w:szCs w:val="24"/>
        </w:rPr>
      </w:pPr>
    </w:p>
    <w:p w:rsidR="00BD2E24"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The cla</w:t>
      </w:r>
      <w:r w:rsidR="000E7714" w:rsidRPr="00304946">
        <w:rPr>
          <w:rFonts w:ascii="Bookman Old Style" w:hAnsi="Bookman Old Style"/>
          <w:szCs w:val="24"/>
        </w:rPr>
        <w:t xml:space="preserve">imant filed an appeal against </w:t>
      </w:r>
      <w:r w:rsidR="00BD2E24">
        <w:rPr>
          <w:rFonts w:ascii="Bookman Old Style" w:hAnsi="Bookman Old Style"/>
          <w:szCs w:val="24"/>
        </w:rPr>
        <w:t xml:space="preserve">two determinations. First is </w:t>
      </w:r>
      <w:r w:rsidR="000E7714" w:rsidRPr="00304946">
        <w:rPr>
          <w:rFonts w:ascii="Bookman Old Style" w:hAnsi="Bookman Old Style"/>
          <w:szCs w:val="24"/>
        </w:rPr>
        <w:t>a</w:t>
      </w:r>
      <w:r w:rsidRPr="00304946">
        <w:rPr>
          <w:rFonts w:ascii="Bookman Old Style" w:hAnsi="Bookman Old Style"/>
          <w:szCs w:val="24"/>
        </w:rPr>
        <w:t xml:space="preserve"> </w:t>
      </w:r>
      <w:r w:rsidR="00B851A5">
        <w:rPr>
          <w:rFonts w:ascii="Bookman Old Style" w:hAnsi="Bookman Old Style"/>
          <w:szCs w:val="24"/>
        </w:rPr>
        <w:t>February 24, 2021</w:t>
      </w:r>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AS 23.20.</w:t>
      </w:r>
      <w:r w:rsidR="00F82055">
        <w:rPr>
          <w:rFonts w:ascii="Bookman Old Style" w:hAnsi="Bookman Old Style"/>
          <w:szCs w:val="24"/>
        </w:rPr>
        <w:t>379</w:t>
      </w:r>
      <w:r w:rsidRPr="00304946">
        <w:rPr>
          <w:rFonts w:ascii="Bookman Old Style" w:hAnsi="Bookman Old Style"/>
          <w:szCs w:val="24"/>
        </w:rPr>
        <w:t xml:space="preserve"> on the ground that</w:t>
      </w:r>
      <w:r w:rsidR="00F82055">
        <w:rPr>
          <w:rFonts w:ascii="Bookman Old Style" w:hAnsi="Bookman Old Style"/>
          <w:szCs w:val="24"/>
        </w:rPr>
        <w:t xml:space="preserve"> the claimant voluntarily left suitable work without good cause or was discharged for work-related misconduct</w:t>
      </w:r>
      <w:r w:rsidRPr="00304946">
        <w:rPr>
          <w:rFonts w:ascii="Bookman Old Style" w:hAnsi="Bookman Old Style"/>
          <w:szCs w:val="24"/>
        </w:rPr>
        <w:t xml:space="preserve">. </w:t>
      </w:r>
    </w:p>
    <w:p w:rsidR="0073389B" w:rsidRDefault="0073389B" w:rsidP="00304946">
      <w:pPr>
        <w:tabs>
          <w:tab w:val="left" w:pos="-1440"/>
          <w:tab w:val="left" w:pos="-720"/>
        </w:tabs>
        <w:rPr>
          <w:rFonts w:ascii="Bookman Old Style" w:hAnsi="Bookman Old Style"/>
          <w:szCs w:val="24"/>
        </w:rPr>
      </w:pPr>
    </w:p>
    <w:p w:rsidR="00BD2E24" w:rsidRPr="00304946" w:rsidRDefault="00BD2E24" w:rsidP="00304946">
      <w:pPr>
        <w:tabs>
          <w:tab w:val="left" w:pos="-1440"/>
          <w:tab w:val="left" w:pos="-720"/>
        </w:tabs>
        <w:rPr>
          <w:rFonts w:ascii="Bookman Old Style" w:hAnsi="Bookman Old Style"/>
          <w:szCs w:val="24"/>
        </w:rPr>
      </w:pPr>
      <w:r>
        <w:rPr>
          <w:rFonts w:ascii="Bookman Old Style" w:hAnsi="Bookman Old Style"/>
          <w:szCs w:val="24"/>
        </w:rPr>
        <w:t xml:space="preserve">The second determination was issued on </w:t>
      </w:r>
      <w:r w:rsidR="00B851A5">
        <w:rPr>
          <w:rFonts w:ascii="Bookman Old Style" w:hAnsi="Bookman Old Style"/>
          <w:szCs w:val="24"/>
        </w:rPr>
        <w:t>February 24, 2021</w:t>
      </w:r>
      <w:r>
        <w:rPr>
          <w:rFonts w:ascii="Bookman Old Style" w:hAnsi="Bookman Old Style"/>
          <w:szCs w:val="24"/>
        </w:rPr>
        <w:t xml:space="preserve">, and denied the claimant’s benefits under AS 23.20.406(h), on the ground that the claimant was not eligible for extended benefits.  </w:t>
      </w:r>
    </w:p>
    <w:p w:rsidR="0078796F" w:rsidRPr="00304946" w:rsidRDefault="0078796F" w:rsidP="00304946">
      <w:pPr>
        <w:tabs>
          <w:tab w:val="left" w:pos="-1440"/>
          <w:tab w:val="left" w:pos="-720"/>
        </w:tabs>
        <w:rPr>
          <w:rFonts w:ascii="Bookman Old Style" w:hAnsi="Bookman Old Style"/>
          <w:szCs w:val="24"/>
        </w:rPr>
      </w:pPr>
    </w:p>
    <w:p w:rsidR="0078796F" w:rsidRPr="00BD2E24" w:rsidRDefault="00BD2E24" w:rsidP="00BD2E24">
      <w:pPr>
        <w:tabs>
          <w:tab w:val="left" w:pos="-1440"/>
          <w:tab w:val="left" w:pos="-720"/>
        </w:tabs>
        <w:jc w:val="center"/>
        <w:rPr>
          <w:rFonts w:ascii="Bookman Old Style" w:hAnsi="Bookman Old Style"/>
          <w:b/>
          <w:szCs w:val="24"/>
        </w:rPr>
      </w:pPr>
      <w:r w:rsidRPr="00BD2E24">
        <w:rPr>
          <w:rFonts w:ascii="Bookman Old Style" w:hAnsi="Bookman Old Style"/>
          <w:b/>
          <w:szCs w:val="24"/>
        </w:rPr>
        <w:t>FINDINGS OF FACT</w:t>
      </w:r>
    </w:p>
    <w:p w:rsidR="000E7714" w:rsidRPr="00304946" w:rsidRDefault="000E7714" w:rsidP="00304946">
      <w:pPr>
        <w:tabs>
          <w:tab w:val="left" w:pos="-1440"/>
          <w:tab w:val="left" w:pos="-720"/>
        </w:tabs>
        <w:rPr>
          <w:rFonts w:ascii="Bookman Old Style" w:hAnsi="Bookman Old Style"/>
          <w:szCs w:val="24"/>
        </w:rPr>
      </w:pPr>
    </w:p>
    <w:p w:rsidR="0078796F" w:rsidRDefault="00B851A5" w:rsidP="00304946">
      <w:pPr>
        <w:tabs>
          <w:tab w:val="left" w:pos="-1440"/>
          <w:tab w:val="left" w:pos="-720"/>
        </w:tabs>
        <w:rPr>
          <w:rFonts w:ascii="Bookman Old Style" w:hAnsi="Bookman Old Style"/>
          <w:szCs w:val="24"/>
        </w:rPr>
      </w:pPr>
      <w:r>
        <w:rPr>
          <w:rFonts w:ascii="Bookman Old Style" w:hAnsi="Bookman Old Style"/>
          <w:szCs w:val="24"/>
        </w:rPr>
        <w:t>The claimant began work for the employer in July 2016. He last worked on Monday, June 8, 2020. At that time, he worked full time and was paid an hourly wage plus tips. He established an unemployment insurance claim effective March 22, 2020.</w:t>
      </w:r>
    </w:p>
    <w:p w:rsidR="00970278" w:rsidRDefault="00970278" w:rsidP="00304946">
      <w:pPr>
        <w:tabs>
          <w:tab w:val="left" w:pos="-1440"/>
          <w:tab w:val="left" w:pos="-720"/>
        </w:tabs>
        <w:rPr>
          <w:rFonts w:ascii="Bookman Old Style" w:hAnsi="Bookman Old Style"/>
          <w:szCs w:val="24"/>
        </w:rPr>
      </w:pPr>
    </w:p>
    <w:p w:rsidR="00970278" w:rsidRDefault="00970278" w:rsidP="00304946">
      <w:pPr>
        <w:tabs>
          <w:tab w:val="left" w:pos="-1440"/>
          <w:tab w:val="left" w:pos="-720"/>
        </w:tabs>
        <w:rPr>
          <w:rFonts w:ascii="Bookman Old Style" w:hAnsi="Bookman Old Style"/>
          <w:szCs w:val="24"/>
        </w:rPr>
      </w:pPr>
      <w:r>
        <w:rPr>
          <w:rFonts w:ascii="Bookman Old Style" w:hAnsi="Bookman Old Style"/>
          <w:szCs w:val="24"/>
        </w:rPr>
        <w:t>The claimant was furloughed due to COVID mandates. He was advised that the employer was covering his insurance during that furlough. He returned from the mandated closure. He was paid and noticed that a large amount was deducted from his pay. The claimant covered his shifts and requested to speak to the owners. He also left a message for human resources.</w:t>
      </w:r>
    </w:p>
    <w:p w:rsidR="00970278" w:rsidRDefault="00970278" w:rsidP="00304946">
      <w:pPr>
        <w:tabs>
          <w:tab w:val="left" w:pos="-1440"/>
          <w:tab w:val="left" w:pos="-720"/>
        </w:tabs>
        <w:rPr>
          <w:rFonts w:ascii="Bookman Old Style" w:hAnsi="Bookman Old Style"/>
          <w:szCs w:val="24"/>
        </w:rPr>
      </w:pPr>
    </w:p>
    <w:p w:rsidR="00970278" w:rsidRDefault="00970278" w:rsidP="00304946">
      <w:pPr>
        <w:tabs>
          <w:tab w:val="left" w:pos="-1440"/>
          <w:tab w:val="left" w:pos="-720"/>
        </w:tabs>
        <w:rPr>
          <w:rFonts w:ascii="Bookman Old Style" w:hAnsi="Bookman Old Style"/>
          <w:szCs w:val="24"/>
        </w:rPr>
      </w:pPr>
      <w:r>
        <w:rPr>
          <w:rFonts w:ascii="Bookman Old Style" w:hAnsi="Bookman Old Style"/>
          <w:szCs w:val="24"/>
        </w:rPr>
        <w:lastRenderedPageBreak/>
        <w:t xml:space="preserve">The </w:t>
      </w:r>
      <w:r w:rsidR="00935AD8">
        <w:rPr>
          <w:rFonts w:ascii="Bookman Old Style" w:hAnsi="Bookman Old Style"/>
          <w:szCs w:val="24"/>
        </w:rPr>
        <w:t>claimant did not get a reply fro</w:t>
      </w:r>
      <w:r>
        <w:rPr>
          <w:rFonts w:ascii="Bookman Old Style" w:hAnsi="Bookman Old Style"/>
          <w:szCs w:val="24"/>
        </w:rPr>
        <w:t xml:space="preserve">m human resources. He did not hear from the owners about his request for a meeting. He noted that he was removed from the </w:t>
      </w:r>
      <w:r w:rsidR="006A1396">
        <w:rPr>
          <w:rFonts w:ascii="Bookman Old Style" w:hAnsi="Bookman Old Style"/>
          <w:szCs w:val="24"/>
        </w:rPr>
        <w:t>schedule. He then received a letter advising that he was no longer covered under the employer’s insurance program due to his termination.</w:t>
      </w:r>
    </w:p>
    <w:p w:rsidR="00BD2E24" w:rsidRDefault="00BD2E24" w:rsidP="00304946">
      <w:pPr>
        <w:tabs>
          <w:tab w:val="left" w:pos="-1440"/>
          <w:tab w:val="left" w:pos="-720"/>
        </w:tabs>
        <w:rPr>
          <w:rFonts w:ascii="Bookman Old Style" w:hAnsi="Bookman Old Style"/>
          <w:szCs w:val="24"/>
        </w:rPr>
      </w:pPr>
    </w:p>
    <w:p w:rsidR="00BD2E24" w:rsidRDefault="006A1396" w:rsidP="00304946">
      <w:pPr>
        <w:tabs>
          <w:tab w:val="left" w:pos="-1440"/>
          <w:tab w:val="left" w:pos="-720"/>
        </w:tabs>
        <w:rPr>
          <w:rFonts w:ascii="Bookman Old Style" w:hAnsi="Bookman Old Style"/>
          <w:szCs w:val="24"/>
        </w:rPr>
      </w:pPr>
      <w:r>
        <w:rPr>
          <w:rFonts w:ascii="Bookman Old Style" w:hAnsi="Bookman Old Style"/>
          <w:szCs w:val="24"/>
        </w:rPr>
        <w:t>The claimant did not return to work</w:t>
      </w:r>
      <w:r w:rsidR="00935AD8">
        <w:rPr>
          <w:rFonts w:ascii="Bookman Old Style" w:hAnsi="Bookman Old Style"/>
          <w:szCs w:val="24"/>
        </w:rPr>
        <w:t xml:space="preserve"> in other employment</w:t>
      </w:r>
      <w:r>
        <w:rPr>
          <w:rFonts w:ascii="Bookman Old Style" w:hAnsi="Bookman Old Style"/>
          <w:szCs w:val="24"/>
        </w:rPr>
        <w:t xml:space="preserve"> until January 2, 2021. He did not work during the disqualification period.</w:t>
      </w:r>
    </w:p>
    <w:p w:rsidR="00935AD8" w:rsidRPr="00304946" w:rsidRDefault="00935AD8" w:rsidP="00304946">
      <w:pPr>
        <w:tabs>
          <w:tab w:val="left" w:pos="-1440"/>
          <w:tab w:val="left" w:pos="-720"/>
        </w:tabs>
        <w:rPr>
          <w:rFonts w:ascii="Bookman Old Style" w:hAnsi="Bookman Old Style"/>
          <w:szCs w:val="24"/>
        </w:rPr>
      </w:pPr>
    </w:p>
    <w:p w:rsidR="0078796F" w:rsidRPr="00304946" w:rsidRDefault="0078796F" w:rsidP="00304946">
      <w:pPr>
        <w:pStyle w:val="Heading4"/>
        <w:jc w:val="center"/>
        <w:rPr>
          <w:rFonts w:ascii="Bookman Old Style" w:hAnsi="Bookman Old Style"/>
          <w:i w:val="0"/>
          <w:color w:val="auto"/>
          <w:szCs w:val="24"/>
        </w:rPr>
      </w:pPr>
      <w:r w:rsidRPr="00304946">
        <w:rPr>
          <w:rFonts w:ascii="Bookman Old Style" w:hAnsi="Bookman Old Style"/>
          <w:i w:val="0"/>
          <w:color w:val="auto"/>
          <w:szCs w:val="24"/>
        </w:rPr>
        <w:t>PROVISIONS OF LAW</w:t>
      </w:r>
    </w:p>
    <w:p w:rsidR="0078796F" w:rsidRPr="00304946" w:rsidRDefault="0078796F" w:rsidP="00304946">
      <w:pPr>
        <w:tabs>
          <w:tab w:val="left" w:pos="-1440"/>
          <w:tab w:val="left" w:pos="-720"/>
        </w:tabs>
        <w:rPr>
          <w:rFonts w:ascii="Bookman Old Style" w:hAnsi="Bookman Old Style"/>
          <w:szCs w:val="24"/>
        </w:rPr>
      </w:pPr>
    </w:p>
    <w:p w:rsidR="0078796F" w:rsidRPr="00304946" w:rsidRDefault="0078796F" w:rsidP="00304946">
      <w:pPr>
        <w:suppressAutoHyphens/>
        <w:rPr>
          <w:rFonts w:ascii="Bookman Old Style" w:hAnsi="Bookman Old Style"/>
          <w:b/>
          <w:spacing w:val="-3"/>
          <w:szCs w:val="24"/>
        </w:rPr>
      </w:pPr>
      <w:r w:rsidRPr="00304946">
        <w:rPr>
          <w:rFonts w:ascii="Bookman Old Style" w:hAnsi="Bookman Old Style"/>
          <w:b/>
          <w:spacing w:val="-3"/>
          <w:szCs w:val="24"/>
        </w:rPr>
        <w:t xml:space="preserve">AS 23.20.340 provides in part;  </w:t>
      </w:r>
    </w:p>
    <w:p w:rsidR="0078796F" w:rsidRPr="00304946" w:rsidRDefault="0078796F" w:rsidP="00304946">
      <w:pPr>
        <w:suppressAutoHyphens/>
        <w:rPr>
          <w:rFonts w:ascii="Bookman Old Style" w:hAnsi="Bookman Old Style"/>
          <w:spacing w:val="-3"/>
          <w:szCs w:val="24"/>
        </w:rPr>
      </w:pPr>
    </w:p>
    <w:p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fldChar w:fldCharType="begin"/>
      </w:r>
      <w:r w:rsidRPr="00304946">
        <w:rPr>
          <w:rFonts w:ascii="Bookman Old Style" w:hAnsi="Bookman Old Style"/>
          <w:spacing w:val="-3"/>
          <w:szCs w:val="24"/>
        </w:rPr>
        <w:instrText>ADVANCE \U 7.20</w:instrText>
      </w:r>
      <w:r w:rsidRPr="00304946">
        <w:rPr>
          <w:rFonts w:ascii="Bookman Old Style" w:hAnsi="Bookman Old Style"/>
          <w:spacing w:val="-3"/>
          <w:szCs w:val="24"/>
        </w:rPr>
        <w:fldChar w:fldCharType="end"/>
      </w:r>
      <w:r w:rsidRPr="00304946">
        <w:rPr>
          <w:rFonts w:ascii="Bookman Old Style" w:hAnsi="Bookman Old Style"/>
          <w:spacing w:val="-3"/>
          <w:szCs w:val="24"/>
        </w:rPr>
        <w:t>(e)</w:t>
      </w:r>
      <w:r w:rsidRPr="00304946">
        <w:rPr>
          <w:rFonts w:ascii="Bookman Old Style" w:hAnsi="Bookman Old Style"/>
          <w:spacing w:val="-3"/>
          <w:szCs w:val="24"/>
        </w:rPr>
        <w:tab/>
        <w:t>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claimant's control.</w:t>
      </w:r>
    </w:p>
    <w:p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p>
    <w:p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(f)</w:t>
      </w:r>
      <w:r w:rsidRPr="00304946">
        <w:rPr>
          <w:rFonts w:ascii="Bookman Old Style" w:hAnsi="Bookman Old Style"/>
          <w:spacing w:val="-3"/>
          <w:szCs w:val="24"/>
        </w:rPr>
        <w:tab/>
        <w:t xml:space="preserve">If a determination of disqualification under AS 23.20.360, 23.20.362, 23.20.375, 23.20.378 </w:t>
      </w:r>
      <w:r w:rsidRPr="00304946">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rsidR="0078796F" w:rsidRPr="00304946" w:rsidRDefault="0078796F" w:rsidP="00304946">
      <w:pPr>
        <w:tabs>
          <w:tab w:val="left" w:pos="-720"/>
        </w:tabs>
        <w:suppressAutoHyphens/>
        <w:rPr>
          <w:rFonts w:ascii="Bookman Old Style" w:hAnsi="Bookman Old Style"/>
          <w:spacing w:val="-3"/>
          <w:szCs w:val="24"/>
        </w:rPr>
      </w:pPr>
    </w:p>
    <w:p w:rsidR="0078796F" w:rsidRPr="00304946" w:rsidRDefault="00AB39A5" w:rsidP="00304946">
      <w:pPr>
        <w:tabs>
          <w:tab w:val="left" w:pos="-720"/>
        </w:tabs>
        <w:suppressAutoHyphens/>
        <w:rPr>
          <w:rFonts w:ascii="Bookman Old Style" w:hAnsi="Bookman Old Style"/>
          <w:b/>
          <w:spacing w:val="-3"/>
          <w:szCs w:val="24"/>
        </w:rPr>
      </w:pPr>
      <w:r>
        <w:rPr>
          <w:rFonts w:ascii="Bookman Old Style" w:hAnsi="Bookman Old Style"/>
          <w:b/>
          <w:spacing w:val="-3"/>
          <w:szCs w:val="24"/>
        </w:rPr>
        <w:t>8 AAC 85.151 provides in part:</w:t>
      </w:r>
      <w:r w:rsidR="0078796F" w:rsidRPr="00304946">
        <w:rPr>
          <w:rFonts w:ascii="Bookman Old Style" w:hAnsi="Bookman Old Style"/>
          <w:b/>
          <w:spacing w:val="-3"/>
          <w:szCs w:val="24"/>
        </w:rPr>
        <w:t xml:space="preserve"> </w:t>
      </w:r>
    </w:p>
    <w:p w:rsidR="0078796F" w:rsidRPr="00304946" w:rsidRDefault="0078796F" w:rsidP="00304946">
      <w:pPr>
        <w:tabs>
          <w:tab w:val="left" w:pos="-720"/>
          <w:tab w:val="left" w:pos="1440"/>
        </w:tabs>
        <w:suppressAutoHyphens/>
        <w:ind w:left="1440" w:hanging="720"/>
        <w:rPr>
          <w:rFonts w:ascii="Bookman Old Style" w:hAnsi="Bookman Old Style"/>
          <w:b/>
          <w:spacing w:val="-3"/>
          <w:szCs w:val="24"/>
        </w:rPr>
      </w:pPr>
    </w:p>
    <w:p w:rsidR="0078796F" w:rsidRPr="00304946" w:rsidRDefault="0078796F" w:rsidP="00304946">
      <w:pPr>
        <w:pStyle w:val="BodyTextIndent"/>
        <w:widowControl/>
        <w:numPr>
          <w:ilvl w:val="0"/>
          <w:numId w:val="2"/>
        </w:numPr>
        <w:tabs>
          <w:tab w:val="clear" w:pos="720"/>
          <w:tab w:val="clear" w:pos="5587"/>
          <w:tab w:val="left" w:pos="-720"/>
        </w:tabs>
        <w:rPr>
          <w:rFonts w:ascii="Bookman Old Style" w:hAnsi="Bookman Old Style"/>
          <w:szCs w:val="24"/>
        </w:rPr>
      </w:pPr>
      <w:r w:rsidRPr="00304946">
        <w:rPr>
          <w:rFonts w:ascii="Bookman Old Style" w:hAnsi="Bookman Old Style"/>
          <w:szCs w:val="24"/>
        </w:rPr>
        <w:t xml:space="preserve">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w:t>
      </w:r>
      <w:r w:rsidRPr="00304946">
        <w:rPr>
          <w:rFonts w:ascii="Bookman Old Style" w:hAnsi="Bookman Old Style"/>
          <w:szCs w:val="24"/>
        </w:rPr>
        <w:lastRenderedPageBreak/>
        <w:t>the failure to file within this period was the result of circumstances beyond his or her control.</w:t>
      </w:r>
    </w:p>
    <w:p w:rsidR="0078796F" w:rsidRPr="00AB39A5" w:rsidRDefault="00AB39A5" w:rsidP="00AB39A5">
      <w:pPr>
        <w:pStyle w:val="Heading4"/>
        <w:rPr>
          <w:rFonts w:ascii="Bookman Old Style" w:hAnsi="Bookman Old Style"/>
          <w:i w:val="0"/>
          <w:color w:val="auto"/>
          <w:szCs w:val="24"/>
        </w:rPr>
      </w:pPr>
      <w:r w:rsidRPr="00AB39A5">
        <w:rPr>
          <w:rFonts w:ascii="Bookman Old Style" w:hAnsi="Bookman Old Style"/>
          <w:i w:val="0"/>
          <w:color w:val="auto"/>
          <w:spacing w:val="-3"/>
          <w:szCs w:val="24"/>
        </w:rPr>
        <w:t>AS 23.20.406 provide</w:t>
      </w:r>
      <w:r>
        <w:rPr>
          <w:rFonts w:ascii="Bookman Old Style" w:hAnsi="Bookman Old Style"/>
          <w:i w:val="0"/>
          <w:color w:val="auto"/>
          <w:spacing w:val="-3"/>
          <w:szCs w:val="24"/>
        </w:rPr>
        <w:t>s</w:t>
      </w:r>
      <w:r w:rsidRPr="00AB39A5">
        <w:rPr>
          <w:rFonts w:ascii="Bookman Old Style" w:hAnsi="Bookman Old Style"/>
          <w:i w:val="0"/>
          <w:color w:val="auto"/>
          <w:spacing w:val="-3"/>
          <w:szCs w:val="24"/>
        </w:rPr>
        <w:t xml:space="preserve"> in part:</w:t>
      </w:r>
    </w:p>
    <w:p w:rsidR="00AB39A5" w:rsidRDefault="00AB39A5" w:rsidP="00AB39A5">
      <w:pPr>
        <w:pStyle w:val="Heading4"/>
        <w:ind w:left="1440" w:hanging="720"/>
        <w:rPr>
          <w:rFonts w:ascii="Bookman Old Style" w:hAnsi="Bookman Old Style"/>
          <w:b w:val="0"/>
          <w:i w:val="0"/>
          <w:color w:val="auto"/>
        </w:rPr>
      </w:pPr>
      <w:r>
        <w:rPr>
          <w:rFonts w:ascii="Bookman Old Style" w:hAnsi="Bookman Old Style"/>
          <w:b w:val="0"/>
          <w:i w:val="0"/>
          <w:color w:val="auto"/>
        </w:rPr>
        <w:t>(h)</w:t>
      </w:r>
      <w:r>
        <w:rPr>
          <w:rFonts w:ascii="Bookman Old Style" w:hAnsi="Bookman Old Style"/>
          <w:b w:val="0"/>
          <w:i w:val="0"/>
          <w:color w:val="auto"/>
        </w:rPr>
        <w:tab/>
      </w:r>
      <w:r w:rsidRPr="00AB39A5">
        <w:rPr>
          <w:rFonts w:ascii="Bookman Old Style" w:hAnsi="Bookman Old Style"/>
          <w:b w:val="0"/>
          <w:i w:val="0"/>
          <w:color w:val="auto"/>
        </w:rPr>
        <w:t>An individual is not eligible to receive extended benefits for any week of unemployment in the individual's eligibility period if the individual has been disqualified for benefits because the individual voluntarily left work, was discharged for misconduct, or refused an offer of suitable work, unless the disqualification imposed for those reasons has been terminated in accordance with AS 23.20.379(d).</w:t>
      </w:r>
    </w:p>
    <w:p w:rsidR="00AB39A5" w:rsidRDefault="00AB39A5" w:rsidP="00AB39A5">
      <w:pPr>
        <w:pStyle w:val="Heading4"/>
        <w:rPr>
          <w:rFonts w:ascii="Bookman Old Style" w:hAnsi="Bookman Old Style"/>
          <w:i w:val="0"/>
          <w:color w:val="auto"/>
          <w:spacing w:val="-3"/>
          <w:szCs w:val="24"/>
        </w:rPr>
      </w:pPr>
      <w:r w:rsidRPr="00AB39A5">
        <w:rPr>
          <w:rFonts w:ascii="Bookman Old Style" w:hAnsi="Bookman Old Style"/>
          <w:i w:val="0"/>
          <w:color w:val="auto"/>
          <w:spacing w:val="-3"/>
          <w:szCs w:val="24"/>
        </w:rPr>
        <w:t>AS 23.20.</w:t>
      </w:r>
      <w:r w:rsidR="00F15EFB">
        <w:rPr>
          <w:rFonts w:ascii="Bookman Old Style" w:hAnsi="Bookman Old Style"/>
          <w:i w:val="0"/>
          <w:color w:val="auto"/>
          <w:spacing w:val="-3"/>
          <w:szCs w:val="24"/>
        </w:rPr>
        <w:t>3</w:t>
      </w:r>
      <w:r>
        <w:rPr>
          <w:rFonts w:ascii="Bookman Old Style" w:hAnsi="Bookman Old Style"/>
          <w:i w:val="0"/>
          <w:color w:val="auto"/>
          <w:spacing w:val="-3"/>
          <w:szCs w:val="24"/>
        </w:rPr>
        <w:t>79</w:t>
      </w:r>
      <w:r w:rsidRPr="00AB39A5">
        <w:rPr>
          <w:rFonts w:ascii="Bookman Old Style" w:hAnsi="Bookman Old Style"/>
          <w:i w:val="0"/>
          <w:color w:val="auto"/>
          <w:spacing w:val="-3"/>
          <w:szCs w:val="24"/>
        </w:rPr>
        <w:t xml:space="preserve"> provide</w:t>
      </w:r>
      <w:r>
        <w:rPr>
          <w:rFonts w:ascii="Bookman Old Style" w:hAnsi="Bookman Old Style"/>
          <w:i w:val="0"/>
          <w:color w:val="auto"/>
          <w:spacing w:val="-3"/>
          <w:szCs w:val="24"/>
        </w:rPr>
        <w:t>s</w:t>
      </w:r>
      <w:r w:rsidRPr="00AB39A5">
        <w:rPr>
          <w:rFonts w:ascii="Bookman Old Style" w:hAnsi="Bookman Old Style"/>
          <w:i w:val="0"/>
          <w:color w:val="auto"/>
          <w:spacing w:val="-3"/>
          <w:szCs w:val="24"/>
        </w:rPr>
        <w:t xml:space="preserve"> in part:</w:t>
      </w:r>
    </w:p>
    <w:p w:rsidR="00BB5A6F" w:rsidRPr="00BB5A6F" w:rsidRDefault="00BB5A6F" w:rsidP="00BB5A6F"/>
    <w:p w:rsidR="00AE5DCB" w:rsidRDefault="00AE5DCB" w:rsidP="00AE5DCB">
      <w:pPr>
        <w:pStyle w:val="NormalWeb"/>
        <w:numPr>
          <w:ilvl w:val="0"/>
          <w:numId w:val="5"/>
        </w:numPr>
        <w:spacing w:before="0" w:beforeAutospacing="0" w:after="0" w:afterAutospacing="0"/>
        <w:rPr>
          <w:rFonts w:ascii="Bookman Old Style" w:hAnsi="Bookman Old Style"/>
        </w:rPr>
      </w:pPr>
      <w:r>
        <w:rPr>
          <w:rFonts w:ascii="Bookman Old Style" w:hAnsi="Bookman Old Style"/>
        </w:rPr>
        <w:t>An insured worker is disqualified for waiting-week credit or benefits for the first week in which the insured worker is unemployed and for the next five weeks of unemployment following that week if the insured worker</w:t>
      </w:r>
    </w:p>
    <w:p w:rsidR="00AE5DCB" w:rsidRDefault="00AE5DCB" w:rsidP="00AE5DCB">
      <w:pPr>
        <w:pStyle w:val="NormalWeb"/>
        <w:spacing w:before="0" w:beforeAutospacing="0" w:after="0" w:afterAutospacing="0"/>
        <w:ind w:left="2160" w:hanging="1440"/>
        <w:rPr>
          <w:rFonts w:ascii="Bookman Old Style" w:hAnsi="Bookman Old Style"/>
        </w:rPr>
      </w:pPr>
      <w:r>
        <w:rPr>
          <w:noProof/>
        </w:rPr>
        <w:drawing>
          <wp:inline distT="0" distB="0" distL="0" distR="0" wp14:anchorId="00BA0466" wp14:editId="7B475F72">
            <wp:extent cx="284480" cy="10160"/>
            <wp:effectExtent l="0" t="0" r="0" b="0"/>
            <wp:docPr id="5" name="Picture 5" descr="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480" cy="10160"/>
                    </a:xfrm>
                    <a:prstGeom prst="rect">
                      <a:avLst/>
                    </a:prstGeom>
                    <a:noFill/>
                    <a:ln>
                      <a:noFill/>
                    </a:ln>
                  </pic:spPr>
                </pic:pic>
              </a:graphicData>
            </a:graphic>
          </wp:inline>
        </w:drawing>
      </w:r>
      <w:r>
        <w:rPr>
          <w:rFonts w:ascii="Bookman Old Style" w:hAnsi="Bookman Old Style"/>
        </w:rPr>
        <w:t xml:space="preserve">   (1)</w:t>
      </w:r>
      <w:r>
        <w:rPr>
          <w:rFonts w:ascii="Bookman Old Style" w:hAnsi="Bookman Old Style"/>
        </w:rPr>
        <w:tab/>
        <w:t>left the insured worker's last suitable work voluntarily without good cause; or</w:t>
      </w:r>
    </w:p>
    <w:p w:rsidR="00AE5DCB" w:rsidRDefault="00AE5DCB" w:rsidP="00AE5DCB">
      <w:pPr>
        <w:pStyle w:val="NormalWeb"/>
        <w:spacing w:before="0" w:beforeAutospacing="0" w:after="0" w:afterAutospacing="0"/>
        <w:ind w:left="2160" w:hanging="1440"/>
        <w:rPr>
          <w:rFonts w:ascii="Bookman Old Style" w:hAnsi="Bookman Old Style"/>
        </w:rPr>
      </w:pPr>
      <w:r>
        <w:rPr>
          <w:rFonts w:ascii="Bookman Old Style" w:hAnsi="Bookman Old Style"/>
        </w:rPr>
        <w:t xml:space="preserve">   </w:t>
      </w:r>
      <w:r>
        <w:rPr>
          <w:rFonts w:ascii="Bookman Old Style" w:hAnsi="Bookman Old Style"/>
          <w:noProof/>
        </w:rPr>
        <w:drawing>
          <wp:inline distT="0" distB="0" distL="0" distR="0" wp14:anchorId="7C258090" wp14:editId="45C20C1F">
            <wp:extent cx="284480" cy="10160"/>
            <wp:effectExtent l="0" t="0" r="0" b="0"/>
            <wp:docPr id="4" name="Picture 4" descr="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480" cy="10160"/>
                    </a:xfrm>
                    <a:prstGeom prst="rect">
                      <a:avLst/>
                    </a:prstGeom>
                    <a:noFill/>
                    <a:ln>
                      <a:noFill/>
                    </a:ln>
                  </pic:spPr>
                </pic:pic>
              </a:graphicData>
            </a:graphic>
          </wp:inline>
        </w:drawing>
      </w:r>
      <w:r>
        <w:rPr>
          <w:rFonts w:ascii="Bookman Old Style" w:hAnsi="Bookman Old Style"/>
        </w:rPr>
        <w:t>(2)</w:t>
      </w:r>
      <w:r>
        <w:rPr>
          <w:rFonts w:ascii="Bookman Old Style" w:hAnsi="Bookman Old Style"/>
        </w:rPr>
        <w:tab/>
        <w:t>was discharged for misconduct connected with the insured worker's last work.</w:t>
      </w:r>
    </w:p>
    <w:p w:rsidR="00AE5DCB" w:rsidRDefault="00AE5DCB" w:rsidP="00AE5DCB">
      <w:pPr>
        <w:pStyle w:val="NormalWeb"/>
        <w:spacing w:before="0" w:beforeAutospacing="0" w:after="0" w:afterAutospacing="0"/>
        <w:ind w:left="2160" w:hanging="1440"/>
        <w:rPr>
          <w:rFonts w:ascii="Bookman Old Style" w:hAnsi="Bookman Old Style"/>
        </w:rPr>
      </w:pPr>
    </w:p>
    <w:p w:rsidR="00AE5DCB" w:rsidRDefault="00AE5DCB" w:rsidP="00AE5DCB">
      <w:pPr>
        <w:pStyle w:val="ListParagraph"/>
        <w:numPr>
          <w:ilvl w:val="0"/>
          <w:numId w:val="6"/>
        </w:numPr>
        <w:rPr>
          <w:rFonts w:ascii="Bookman Old Style" w:hAnsi="Bookman Old Style"/>
        </w:rPr>
      </w:pPr>
      <w:r>
        <w:rPr>
          <w:rFonts w:ascii="Bookman Old Style" w:hAnsi="Bookman Old Style"/>
        </w:rPr>
        <w:t>The disqualification required in (a) and (b) of this section is terminated if the insured worker returns to employment and earns at least eight times the insured worker's weekly benefit amount.</w:t>
      </w:r>
    </w:p>
    <w:p w:rsidR="00AB39A5" w:rsidRDefault="00AB39A5" w:rsidP="00AB39A5"/>
    <w:p w:rsidR="001E5A34" w:rsidRPr="001E5A34" w:rsidRDefault="001E5A34" w:rsidP="00AB39A5">
      <w:pPr>
        <w:rPr>
          <w:rFonts w:ascii="Bookman Old Style" w:hAnsi="Bookman Old Style"/>
          <w:b/>
        </w:rPr>
      </w:pPr>
      <w:r w:rsidRPr="001E5A34">
        <w:rPr>
          <w:rFonts w:ascii="Bookman Old Style" w:hAnsi="Bookman Old Style"/>
          <w:b/>
        </w:rPr>
        <w:t>8 AAC 85.095 provides, in part:</w:t>
      </w:r>
    </w:p>
    <w:p w:rsidR="001E5A34" w:rsidRDefault="001E5A34" w:rsidP="00AB39A5"/>
    <w:p w:rsidR="001E5A34" w:rsidRPr="001E5A34" w:rsidRDefault="001E5A34" w:rsidP="001E5A34">
      <w:pPr>
        <w:numPr>
          <w:ilvl w:val="0"/>
          <w:numId w:val="4"/>
        </w:numPr>
        <w:rPr>
          <w:rFonts w:ascii="Bookman Old Style" w:hAnsi="Bookman Old Style"/>
        </w:rPr>
      </w:pPr>
      <w:r w:rsidRPr="001E5A34">
        <w:rPr>
          <w:rFonts w:ascii="Bookman Old Style" w:hAnsi="Bookman Old Style"/>
        </w:rPr>
        <w:t>A disqualification under AS 23.20.379 (a) and (b) remains in effect for six consecutive weeks or until terminated under the conditions of AS 23.20.379 (d), whichever is less. The disqualification will be terminated immediately following the end of the week in which a claimant has earned, for all employment during the disqualification period, at least eight times his weekly benefit amount, excluding any allowance for dependents. The termination of the disqualification period will not restore benefits denied for weeks ending before the termination. The termination does not restore a reduction in maximum potential benefits made under AS 23.20.379 (c).</w:t>
      </w:r>
    </w:p>
    <w:p w:rsidR="0078796F" w:rsidRPr="00AB39A5" w:rsidRDefault="0078796F" w:rsidP="00AB39A5">
      <w:pPr>
        <w:pStyle w:val="Heading4"/>
        <w:jc w:val="center"/>
        <w:rPr>
          <w:rFonts w:ascii="Bookman Old Style" w:hAnsi="Bookman Old Style"/>
          <w:i w:val="0"/>
          <w:color w:val="auto"/>
          <w:szCs w:val="24"/>
        </w:rPr>
      </w:pPr>
      <w:r w:rsidRPr="00AB39A5">
        <w:rPr>
          <w:rFonts w:ascii="Bookman Old Style" w:hAnsi="Bookman Old Style"/>
          <w:i w:val="0"/>
          <w:color w:val="auto"/>
          <w:szCs w:val="24"/>
        </w:rPr>
        <w:t>CONCLUSION</w:t>
      </w:r>
    </w:p>
    <w:p w:rsidR="000F4846" w:rsidRDefault="000F4846" w:rsidP="000F4846">
      <w:pPr>
        <w:tabs>
          <w:tab w:val="left" w:pos="-720"/>
          <w:tab w:val="left" w:pos="1440"/>
        </w:tabs>
        <w:suppressAutoHyphens/>
        <w:rPr>
          <w:rFonts w:ascii="Bookman Old Style" w:hAnsi="Bookman Old Style"/>
          <w:szCs w:val="24"/>
        </w:rPr>
      </w:pPr>
    </w:p>
    <w:p w:rsidR="006A1396" w:rsidRPr="0030573E" w:rsidRDefault="006A1396" w:rsidP="006A1396">
      <w:pPr>
        <w:tabs>
          <w:tab w:val="left" w:pos="0"/>
          <w:tab w:val="left" w:pos="720"/>
          <w:tab w:val="left" w:pos="1080"/>
          <w:tab w:val="left" w:pos="1440"/>
          <w:tab w:val="left" w:pos="1800"/>
          <w:tab w:val="left" w:pos="2160"/>
          <w:tab w:val="left" w:pos="2520"/>
          <w:tab w:val="left" w:pos="2880"/>
          <w:tab w:val="left" w:pos="5040"/>
        </w:tabs>
        <w:suppressAutoHyphens/>
        <w:rPr>
          <w:rFonts w:ascii="Bookman Old Style" w:hAnsi="Bookman Old Style"/>
          <w:spacing w:val="-3"/>
        </w:rPr>
      </w:pPr>
      <w:r w:rsidRPr="00935AD8">
        <w:rPr>
          <w:rFonts w:ascii="Bookman Old Style" w:hAnsi="Bookman Old Style"/>
          <w:i/>
          <w:spacing w:val="-3"/>
        </w:rPr>
        <w:t xml:space="preserve">As a matter of law, Tyrell could not have "voluntarily left" his job unless he </w:t>
      </w:r>
      <w:r w:rsidRPr="00935AD8">
        <w:rPr>
          <w:rFonts w:ascii="Bookman Old Style" w:hAnsi="Bookman Old Style"/>
          <w:i/>
          <w:spacing w:val="-3"/>
          <w:u w:val="single"/>
        </w:rPr>
        <w:t>intended</w:t>
      </w:r>
      <w:r w:rsidRPr="00935AD8">
        <w:rPr>
          <w:rFonts w:ascii="Bookman Old Style" w:hAnsi="Bookman Old Style"/>
          <w:i/>
          <w:spacing w:val="-3"/>
        </w:rPr>
        <w:t xml:space="preserve"> to leave his job . . . "job abandonment" . . . does not automatically mandate the conclusion that Tyrell </w:t>
      </w:r>
      <w:r w:rsidRPr="00935AD8">
        <w:rPr>
          <w:rFonts w:ascii="Bookman Old Style" w:hAnsi="Bookman Old Style"/>
          <w:i/>
          <w:spacing w:val="-3"/>
          <w:u w:val="single"/>
        </w:rPr>
        <w:t>intended</w:t>
      </w:r>
      <w:r w:rsidRPr="00935AD8">
        <w:rPr>
          <w:rFonts w:ascii="Bookman Old Style" w:hAnsi="Bookman Old Style"/>
          <w:i/>
          <w:spacing w:val="-3"/>
        </w:rPr>
        <w:t xml:space="preserve"> to quit his job - and a finding of such intent is the </w:t>
      </w:r>
      <w:r w:rsidRPr="00935AD8">
        <w:rPr>
          <w:rFonts w:ascii="Bookman Old Style" w:hAnsi="Bookman Old Style"/>
          <w:i/>
          <w:spacing w:val="-3"/>
          <w:u w:val="single"/>
        </w:rPr>
        <w:t>sine qua non</w:t>
      </w:r>
      <w:r w:rsidRPr="00935AD8">
        <w:rPr>
          <w:rFonts w:ascii="Bookman Old Style" w:hAnsi="Bookman Old Style"/>
          <w:i/>
          <w:spacing w:val="-3"/>
        </w:rPr>
        <w:t xml:space="preserve"> of a finding that Tyrell "voluntarily quit.”</w:t>
      </w:r>
      <w:r w:rsidRPr="0030573E">
        <w:rPr>
          <w:rFonts w:ascii="Bookman Old Style" w:hAnsi="Bookman Old Style"/>
          <w:spacing w:val="-3"/>
        </w:rPr>
        <w:t xml:space="preserve"> </w:t>
      </w:r>
      <w:r w:rsidRPr="0030573E">
        <w:rPr>
          <w:rFonts w:ascii="Bookman Old Style" w:hAnsi="Bookman Old Style"/>
          <w:spacing w:val="-3"/>
          <w:u w:val="single"/>
        </w:rPr>
        <w:t>William Tyrell v. Department of Labor</w:t>
      </w:r>
      <w:r w:rsidRPr="0030573E">
        <w:rPr>
          <w:rFonts w:ascii="Bookman Old Style" w:hAnsi="Bookman Old Style"/>
          <w:spacing w:val="-3"/>
        </w:rPr>
        <w:t>, 1KE-92-1364 CI, (AK Super. Ct., November 4, 1993).</w:t>
      </w:r>
    </w:p>
    <w:p w:rsidR="006A1396" w:rsidRPr="0030573E" w:rsidRDefault="006A1396" w:rsidP="006A1396">
      <w:pPr>
        <w:tabs>
          <w:tab w:val="left" w:pos="0"/>
          <w:tab w:val="left" w:pos="720"/>
          <w:tab w:val="left" w:pos="1080"/>
          <w:tab w:val="left" w:pos="1440"/>
          <w:tab w:val="left" w:pos="1800"/>
          <w:tab w:val="left" w:pos="2160"/>
          <w:tab w:val="left" w:pos="2520"/>
          <w:tab w:val="left" w:pos="2880"/>
          <w:tab w:val="left" w:pos="5040"/>
        </w:tabs>
        <w:suppressAutoHyphens/>
        <w:rPr>
          <w:rFonts w:ascii="Bookman Old Style" w:hAnsi="Bookman Old Style"/>
          <w:spacing w:val="-3"/>
        </w:rPr>
      </w:pPr>
    </w:p>
    <w:p w:rsidR="006A1396" w:rsidRDefault="006A1396" w:rsidP="006A1396">
      <w:pPr>
        <w:tabs>
          <w:tab w:val="left" w:pos="-1440"/>
          <w:tab w:val="left" w:pos="-720"/>
        </w:tabs>
        <w:suppressAutoHyphens/>
        <w:rPr>
          <w:rFonts w:ascii="Bookman Old Style" w:hAnsi="Bookman Old Style"/>
        </w:rPr>
      </w:pPr>
      <w:r w:rsidRPr="00935AD8">
        <w:rPr>
          <w:rFonts w:ascii="Bookman Old Style" w:hAnsi="Bookman Old Style"/>
          <w:i/>
        </w:rPr>
        <w:t>Job abandonment is a contractual, not statutory term, and it does not automatically mandate a conclusion that a claimant intended to quit his job</w:t>
      </w:r>
      <w:r w:rsidRPr="0030573E">
        <w:rPr>
          <w:rFonts w:ascii="Bookman Old Style" w:hAnsi="Bookman Old Style"/>
        </w:rPr>
        <w:t xml:space="preserve">. </w:t>
      </w:r>
      <w:r w:rsidRPr="0030573E">
        <w:rPr>
          <w:rFonts w:ascii="Bookman Old Style" w:hAnsi="Bookman Old Style"/>
          <w:u w:val="single"/>
        </w:rPr>
        <w:t>Tyrell v. Dept. of Labor</w:t>
      </w:r>
      <w:r w:rsidRPr="0030573E">
        <w:rPr>
          <w:rFonts w:ascii="Bookman Old Style" w:hAnsi="Bookman Old Style"/>
        </w:rPr>
        <w:t xml:space="preserve">, AK Superior Ct. 1stJD No. 1KE-92-1364 </w:t>
      </w:r>
      <w:r>
        <w:rPr>
          <w:rFonts w:ascii="Bookman Old Style" w:hAnsi="Bookman Old Style"/>
        </w:rPr>
        <w:t>Civil (November 4, 1993</w:t>
      </w:r>
      <w:r w:rsidRPr="0030573E">
        <w:rPr>
          <w:rFonts w:ascii="Bookman Old Style" w:hAnsi="Bookman Old Style"/>
        </w:rPr>
        <w:t>).</w:t>
      </w:r>
    </w:p>
    <w:p w:rsidR="006A1396" w:rsidRPr="0030573E" w:rsidRDefault="006A1396" w:rsidP="006A1396">
      <w:pPr>
        <w:tabs>
          <w:tab w:val="left" w:pos="-1440"/>
          <w:tab w:val="left" w:pos="-720"/>
        </w:tabs>
        <w:suppressAutoHyphens/>
        <w:rPr>
          <w:rFonts w:ascii="Bookman Old Style" w:hAnsi="Bookman Old Style"/>
        </w:rPr>
      </w:pPr>
    </w:p>
    <w:p w:rsidR="006A1396" w:rsidRDefault="006A1396" w:rsidP="006A1396">
      <w:pPr>
        <w:pStyle w:val="EndnoteText"/>
        <w:widowControl/>
        <w:tabs>
          <w:tab w:val="left" w:pos="-1440"/>
          <w:tab w:val="left" w:pos="-720"/>
        </w:tabs>
        <w:suppressAutoHyphens/>
      </w:pPr>
    </w:p>
    <w:p w:rsidR="006A1396" w:rsidRDefault="006A1396" w:rsidP="006A1396">
      <w:pPr>
        <w:tabs>
          <w:tab w:val="left" w:pos="-720"/>
          <w:tab w:val="left" w:pos="1440"/>
        </w:tabs>
        <w:suppressAutoHyphens/>
        <w:rPr>
          <w:rFonts w:ascii="Bookman Old Style" w:hAnsi="Bookman Old Style"/>
        </w:rPr>
      </w:pPr>
      <w:r>
        <w:rPr>
          <w:rFonts w:ascii="Bookman Old Style" w:hAnsi="Bookman Old Style"/>
        </w:rPr>
        <w:t>“In</w:t>
      </w:r>
      <w:r w:rsidRPr="006A1396">
        <w:rPr>
          <w:rFonts w:ascii="Bookman Old Style" w:hAnsi="Bookman Old Style"/>
        </w:rPr>
        <w:t xml:space="preserve"> </w:t>
      </w:r>
      <w:r w:rsidRPr="006A1396">
        <w:rPr>
          <w:rFonts w:ascii="Bookman Old Style" w:hAnsi="Bookman Old Style"/>
          <w:u w:val="single"/>
        </w:rPr>
        <w:t>Tyrell v. Dept</w:t>
      </w:r>
      <w:r>
        <w:rPr>
          <w:rFonts w:ascii="Bookman Old Style" w:hAnsi="Bookman Old Style"/>
          <w:u w:val="single"/>
        </w:rPr>
        <w:t>.</w:t>
      </w:r>
      <w:r w:rsidRPr="006A1396">
        <w:rPr>
          <w:rFonts w:ascii="Bookman Old Style" w:hAnsi="Bookman Old Style"/>
          <w:u w:val="single"/>
        </w:rPr>
        <w:t xml:space="preserve"> of Labor</w:t>
      </w:r>
      <w:r w:rsidRPr="006A1396">
        <w:rPr>
          <w:rFonts w:ascii="Bookman Old Style" w:hAnsi="Bookman Old Style"/>
        </w:rPr>
        <w:t>, No. IK</w:t>
      </w:r>
      <w:r>
        <w:rPr>
          <w:rFonts w:ascii="Bookman Old Style" w:hAnsi="Bookman Old Style"/>
        </w:rPr>
        <w:t xml:space="preserve">E-92-1364 CI, November 4, 1993 </w:t>
      </w:r>
      <w:r w:rsidRPr="006A1396">
        <w:rPr>
          <w:rFonts w:ascii="Bookman Old Style" w:hAnsi="Bookman Old Style"/>
        </w:rPr>
        <w:t>. . . the Superior Court held that a claimant could not have voluntarily left his job unless he "</w:t>
      </w:r>
      <w:r w:rsidRPr="006A1396">
        <w:rPr>
          <w:rFonts w:ascii="Bookman Old Style" w:hAnsi="Bookman Old Style"/>
          <w:i/>
        </w:rPr>
        <w:t>intended</w:t>
      </w:r>
      <w:r w:rsidRPr="006A1396">
        <w:rPr>
          <w:rFonts w:ascii="Bookman Old Style" w:hAnsi="Bookman Old Style"/>
        </w:rPr>
        <w:t>" to leave his job. The claimant had walked off the job without approved leave over a dispute with his employer over pay.</w:t>
      </w:r>
    </w:p>
    <w:p w:rsidR="006A1396" w:rsidRDefault="006A1396" w:rsidP="006A1396">
      <w:pPr>
        <w:tabs>
          <w:tab w:val="left" w:pos="-720"/>
          <w:tab w:val="left" w:pos="1440"/>
        </w:tabs>
        <w:suppressAutoHyphens/>
        <w:rPr>
          <w:rFonts w:ascii="Bookman Old Style" w:hAnsi="Bookman Old Style"/>
        </w:rPr>
      </w:pPr>
    </w:p>
    <w:p w:rsidR="00935AD8" w:rsidRDefault="006A1396" w:rsidP="006A1396">
      <w:pPr>
        <w:tabs>
          <w:tab w:val="left" w:pos="-720"/>
          <w:tab w:val="left" w:pos="1440"/>
        </w:tabs>
        <w:suppressAutoHyphens/>
        <w:rPr>
          <w:rFonts w:ascii="Bookman Old Style" w:hAnsi="Bookman Old Style"/>
        </w:rPr>
      </w:pPr>
      <w:r>
        <w:rPr>
          <w:rFonts w:ascii="Bookman Old Style" w:hAnsi="Bookman Old Style"/>
        </w:rPr>
        <w:t xml:space="preserve">Similar to </w:t>
      </w:r>
      <w:r w:rsidRPr="006A1396">
        <w:rPr>
          <w:rFonts w:ascii="Bookman Old Style" w:hAnsi="Bookman Old Style"/>
          <w:u w:val="single"/>
        </w:rPr>
        <w:t>Tyrell</w:t>
      </w:r>
      <w:r>
        <w:rPr>
          <w:rFonts w:ascii="Bookman Old Style" w:hAnsi="Bookman Old Style"/>
        </w:rPr>
        <w:t>, the claimant, in this matter, the requested to meet with the owners of the business over a discrepancy in his pay. He showed no intent to quit. He had his shifts covered</w:t>
      </w:r>
      <w:r w:rsidR="00935AD8">
        <w:rPr>
          <w:rFonts w:ascii="Bookman Old Style" w:hAnsi="Bookman Old Style"/>
        </w:rPr>
        <w:t xml:space="preserve"> before he requested to meet with the owners. Therefore, the claimant was discharged.</w:t>
      </w:r>
    </w:p>
    <w:p w:rsidR="00935AD8" w:rsidRDefault="00935AD8" w:rsidP="006A1396">
      <w:pPr>
        <w:tabs>
          <w:tab w:val="left" w:pos="-720"/>
          <w:tab w:val="left" w:pos="1440"/>
        </w:tabs>
        <w:suppressAutoHyphens/>
        <w:rPr>
          <w:rFonts w:ascii="Bookman Old Style" w:hAnsi="Bookman Old Style"/>
        </w:rPr>
      </w:pPr>
    </w:p>
    <w:p w:rsidR="006A1396" w:rsidRDefault="00935AD8" w:rsidP="006A1396">
      <w:pPr>
        <w:tabs>
          <w:tab w:val="left" w:pos="-720"/>
          <w:tab w:val="left" w:pos="1440"/>
        </w:tabs>
        <w:suppressAutoHyphens/>
        <w:rPr>
          <w:rFonts w:ascii="Bookman Old Style" w:hAnsi="Bookman Old Style"/>
        </w:rPr>
      </w:pPr>
      <w:r>
        <w:rPr>
          <w:rFonts w:ascii="Bookman Old Style" w:hAnsi="Bookman Old Style"/>
        </w:rPr>
        <w:t>The employer did not appear for the hearing and has not shown that the claimant was discharged for misconduct.</w:t>
      </w:r>
    </w:p>
    <w:p w:rsidR="006A1396" w:rsidRPr="006A1396" w:rsidRDefault="006A1396" w:rsidP="006A1396">
      <w:pPr>
        <w:tabs>
          <w:tab w:val="left" w:pos="-720"/>
          <w:tab w:val="left" w:pos="1440"/>
        </w:tabs>
        <w:suppressAutoHyphens/>
        <w:rPr>
          <w:rFonts w:ascii="Bookman Old Style" w:hAnsi="Bookman Old Style"/>
          <w:spacing w:val="-3"/>
          <w:szCs w:val="24"/>
        </w:rPr>
      </w:pPr>
    </w:p>
    <w:p w:rsidR="000F4846" w:rsidRDefault="000F4846" w:rsidP="000F4846">
      <w:pPr>
        <w:pStyle w:val="Default"/>
        <w:rPr>
          <w:rFonts w:ascii="Bookman Old Style" w:hAnsi="Bookman Old Style"/>
        </w:rPr>
      </w:pPr>
      <w:r>
        <w:rPr>
          <w:rFonts w:ascii="Bookman Old Style" w:hAnsi="Bookman Old Style"/>
        </w:rPr>
        <w:t>From the Division’s Benefit Policy Manual, MS 160.05:</w:t>
      </w:r>
    </w:p>
    <w:p w:rsidR="000F4846" w:rsidRDefault="000F4846" w:rsidP="000F4846">
      <w:pPr>
        <w:pStyle w:val="Default"/>
        <w:rPr>
          <w:rFonts w:ascii="Bookman Old Style" w:hAnsi="Bookman Old Style"/>
        </w:rPr>
      </w:pPr>
    </w:p>
    <w:p w:rsidR="000F4846" w:rsidRDefault="000F4846" w:rsidP="000F4846">
      <w:pPr>
        <w:tabs>
          <w:tab w:val="left" w:pos="-1440"/>
          <w:tab w:val="left" w:pos="-720"/>
        </w:tabs>
        <w:ind w:left="360"/>
        <w:rPr>
          <w:rFonts w:ascii="Bookman Old Style" w:hAnsi="Bookman Old Style"/>
          <w:i/>
          <w:szCs w:val="24"/>
        </w:rPr>
      </w:pPr>
      <w:r>
        <w:rPr>
          <w:rFonts w:ascii="Bookman Old Style" w:hAnsi="Bookman Old Style"/>
          <w:i/>
          <w:szCs w:val="24"/>
        </w:rPr>
        <w:t>B. Purge of Disqualification</w:t>
      </w:r>
    </w:p>
    <w:p w:rsidR="000F4846" w:rsidRDefault="000F4846" w:rsidP="000F4846">
      <w:pPr>
        <w:tabs>
          <w:tab w:val="left" w:pos="-1440"/>
          <w:tab w:val="left" w:pos="-720"/>
        </w:tabs>
        <w:ind w:left="720"/>
        <w:rPr>
          <w:rFonts w:ascii="Bookman Old Style" w:hAnsi="Bookman Old Style"/>
          <w:i/>
          <w:szCs w:val="24"/>
        </w:rPr>
      </w:pPr>
      <w:r>
        <w:rPr>
          <w:rFonts w:ascii="Bookman Old Style" w:hAnsi="Bookman Old Style"/>
          <w:i/>
          <w:szCs w:val="24"/>
        </w:rPr>
        <w:t>A claimant who has been disqualified from receiving benefits because of voluntary leaving work without good cause, misconduct in connection with the work, or failure to apply for or to accept suitable work is not eligible for EB. The claimant can purge the disqualification by returning to work during the disqualification period and earning eight times their weekly benefit amount, or possibly through a timely appeal process. No other factors or circumstances may be considered (Storm, Docket 98 0622, April 7, 1998.)</w:t>
      </w:r>
    </w:p>
    <w:p w:rsidR="000F4846" w:rsidRDefault="000F4846" w:rsidP="000F4846">
      <w:pPr>
        <w:tabs>
          <w:tab w:val="left" w:pos="-1440"/>
          <w:tab w:val="left" w:pos="-720"/>
        </w:tabs>
        <w:rPr>
          <w:rFonts w:ascii="Bookman Old Style" w:hAnsi="Bookman Old Style"/>
          <w:szCs w:val="24"/>
        </w:rPr>
      </w:pPr>
    </w:p>
    <w:p w:rsidR="000F4846" w:rsidRDefault="000F4846" w:rsidP="000F4846">
      <w:pPr>
        <w:tabs>
          <w:tab w:val="left" w:pos="-1440"/>
          <w:tab w:val="left" w:pos="-720"/>
        </w:tabs>
        <w:rPr>
          <w:rFonts w:ascii="Bookman Old Style" w:hAnsi="Bookman Old Style"/>
          <w:szCs w:val="24"/>
        </w:rPr>
      </w:pPr>
      <w:r>
        <w:rPr>
          <w:rFonts w:ascii="Bookman Old Style" w:hAnsi="Bookman Old Style"/>
          <w:szCs w:val="24"/>
        </w:rPr>
        <w:t xml:space="preserve">The claimant did not purge the penalty imposed under AS 23.20.379(a) by returning to work during the disqualification period and earning eight times the weekly benefit amount.  The </w:t>
      </w:r>
      <w:r w:rsidR="00935AD8">
        <w:rPr>
          <w:rFonts w:ascii="Bookman Old Style" w:hAnsi="Bookman Old Style"/>
          <w:szCs w:val="24"/>
        </w:rPr>
        <w:t xml:space="preserve">matter is moot as the Tribunal reversed the disqualification. </w:t>
      </w:r>
    </w:p>
    <w:p w:rsidR="00935AD8" w:rsidRDefault="00935AD8" w:rsidP="000F4846">
      <w:pPr>
        <w:tabs>
          <w:tab w:val="left" w:pos="-1440"/>
          <w:tab w:val="left" w:pos="-720"/>
        </w:tabs>
        <w:rPr>
          <w:rFonts w:ascii="Bookman Old Style" w:hAnsi="Bookman Old Style"/>
          <w:szCs w:val="24"/>
        </w:rPr>
      </w:pPr>
    </w:p>
    <w:p w:rsidR="000F4846" w:rsidRDefault="000F4846" w:rsidP="000F4846">
      <w:pPr>
        <w:pStyle w:val="Heading4"/>
        <w:jc w:val="center"/>
        <w:rPr>
          <w:rFonts w:ascii="Bookman Old Style" w:hAnsi="Bookman Old Style"/>
          <w:i w:val="0"/>
          <w:color w:val="auto"/>
          <w:szCs w:val="24"/>
        </w:rPr>
      </w:pPr>
      <w:r>
        <w:rPr>
          <w:rFonts w:ascii="Bookman Old Style" w:hAnsi="Bookman Old Style"/>
          <w:i w:val="0"/>
          <w:color w:val="auto"/>
          <w:szCs w:val="24"/>
        </w:rPr>
        <w:t>DECISION</w:t>
      </w:r>
    </w:p>
    <w:p w:rsidR="000F4846" w:rsidRDefault="000F4846" w:rsidP="000F4846">
      <w:pPr>
        <w:tabs>
          <w:tab w:val="left" w:pos="-1440"/>
          <w:tab w:val="left" w:pos="-720"/>
        </w:tabs>
        <w:rPr>
          <w:rFonts w:ascii="Bookman Old Style" w:hAnsi="Bookman Old Style"/>
          <w:szCs w:val="24"/>
        </w:rPr>
      </w:pPr>
    </w:p>
    <w:p w:rsidR="000F4846" w:rsidRPr="00935AD8" w:rsidRDefault="000F4846" w:rsidP="000F4846">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 xml:space="preserve">The appeal of the determination issued on </w:t>
      </w:r>
      <w:r w:rsidR="00935AD8">
        <w:rPr>
          <w:rFonts w:ascii="Bookman Old Style" w:hAnsi="Bookman Old Style"/>
          <w:spacing w:val="-3"/>
          <w:szCs w:val="24"/>
        </w:rPr>
        <w:t>February 24, 2020 denying benefits based on the separation</w:t>
      </w:r>
      <w:r>
        <w:rPr>
          <w:rFonts w:ascii="Bookman Old Style" w:hAnsi="Bookman Old Style"/>
          <w:spacing w:val="-3"/>
          <w:szCs w:val="24"/>
        </w:rPr>
        <w:t xml:space="preserve"> is </w:t>
      </w:r>
      <w:r w:rsidR="00935AD8">
        <w:rPr>
          <w:rFonts w:ascii="Bookman Old Style" w:hAnsi="Bookman Old Style"/>
          <w:b/>
          <w:spacing w:val="-3"/>
          <w:szCs w:val="24"/>
        </w:rPr>
        <w:t xml:space="preserve">REVERSED. </w:t>
      </w:r>
      <w:r w:rsidR="00935AD8" w:rsidRPr="00935AD8">
        <w:rPr>
          <w:rFonts w:ascii="Bookman Old Style" w:hAnsi="Bookman Old Style"/>
          <w:spacing w:val="-3"/>
          <w:szCs w:val="24"/>
        </w:rPr>
        <w:t>The claimant is allowed benefits for the weeks ending June 6, 2020 through July 11, 2020. The three weeks are restored to the claimant’s</w:t>
      </w:r>
      <w:r w:rsidRPr="00935AD8">
        <w:rPr>
          <w:rFonts w:ascii="Bookman Old Style" w:hAnsi="Bookman Old Style"/>
          <w:spacing w:val="-3"/>
          <w:szCs w:val="24"/>
        </w:rPr>
        <w:t xml:space="preserve"> </w:t>
      </w:r>
      <w:r w:rsidR="00935AD8" w:rsidRPr="00935AD8">
        <w:rPr>
          <w:rFonts w:ascii="Bookman Old Style" w:hAnsi="Bookman Old Style"/>
          <w:spacing w:val="-3"/>
          <w:szCs w:val="24"/>
        </w:rPr>
        <w:t>maximum benefits.</w:t>
      </w:r>
    </w:p>
    <w:p w:rsidR="00935AD8" w:rsidRDefault="00935AD8" w:rsidP="000F4846">
      <w:pPr>
        <w:tabs>
          <w:tab w:val="left" w:pos="-720"/>
          <w:tab w:val="left" w:pos="1440"/>
        </w:tabs>
        <w:suppressAutoHyphens/>
        <w:rPr>
          <w:rFonts w:ascii="Bookman Old Style" w:hAnsi="Bookman Old Style"/>
          <w:spacing w:val="-3"/>
          <w:szCs w:val="24"/>
        </w:rPr>
      </w:pPr>
    </w:p>
    <w:p w:rsidR="000F4846" w:rsidRDefault="000F4846" w:rsidP="000F4846">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 xml:space="preserve">The determination issued on </w:t>
      </w:r>
      <w:r w:rsidR="00935AD8">
        <w:rPr>
          <w:rFonts w:ascii="Bookman Old Style" w:hAnsi="Bookman Old Style"/>
          <w:szCs w:val="24"/>
        </w:rPr>
        <w:t>February 24, 2020</w:t>
      </w:r>
      <w:r>
        <w:rPr>
          <w:rFonts w:ascii="Bookman Old Style" w:hAnsi="Bookman Old Style"/>
          <w:szCs w:val="24"/>
        </w:rPr>
        <w:t xml:space="preserve"> is </w:t>
      </w:r>
      <w:r>
        <w:rPr>
          <w:rFonts w:ascii="Bookman Old Style" w:hAnsi="Bookman Old Style"/>
          <w:b/>
          <w:szCs w:val="24"/>
        </w:rPr>
        <w:t>REVERSED</w:t>
      </w:r>
      <w:r>
        <w:rPr>
          <w:rFonts w:ascii="Bookman Old Style" w:hAnsi="Bookman Old Style"/>
          <w:szCs w:val="24"/>
        </w:rPr>
        <w:t xml:space="preserve">. Extended benefits </w:t>
      </w:r>
      <w:r w:rsidR="00935AD8">
        <w:rPr>
          <w:rFonts w:ascii="Bookman Old Style" w:hAnsi="Bookman Old Style"/>
          <w:szCs w:val="24"/>
        </w:rPr>
        <w:t>are allowed based on the reason for separation.</w:t>
      </w:r>
      <w:r>
        <w:rPr>
          <w:rFonts w:ascii="Bookman Old Style" w:hAnsi="Bookman Old Style"/>
          <w:szCs w:val="24"/>
        </w:rPr>
        <w:t xml:space="preserve"> </w:t>
      </w:r>
    </w:p>
    <w:p w:rsidR="00935AD8" w:rsidRPr="00935AD8" w:rsidRDefault="00935AD8" w:rsidP="00935AD8"/>
    <w:p w:rsidR="0046604B" w:rsidRPr="00935AD8" w:rsidRDefault="0046604B" w:rsidP="00304946">
      <w:pPr>
        <w:pStyle w:val="Heading4"/>
        <w:jc w:val="center"/>
        <w:rPr>
          <w:rFonts w:ascii="Bookman Old Style" w:hAnsi="Bookman Old Style"/>
          <w:i w:val="0"/>
          <w:color w:val="auto"/>
          <w:szCs w:val="24"/>
        </w:rPr>
      </w:pPr>
      <w:r w:rsidRPr="00935AD8">
        <w:rPr>
          <w:rFonts w:ascii="Bookman Old Style" w:hAnsi="Bookman Old Style"/>
          <w:i w:val="0"/>
          <w:color w:val="auto"/>
          <w:szCs w:val="24"/>
        </w:rPr>
        <w:lastRenderedPageBreak/>
        <w:t>APPEAL RIGHTS</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This decision is final unless an appeal is filed to the Commissioner of Labor and Workforce Development within </w:t>
      </w:r>
      <w:r w:rsidRPr="00304946">
        <w:rPr>
          <w:rFonts w:ascii="Bookman Old Style" w:hAnsi="Bookman Old Style"/>
          <w:b/>
          <w:szCs w:val="24"/>
          <w:u w:val="single"/>
        </w:rPr>
        <w:t>30 days</w:t>
      </w:r>
      <w:r w:rsidRPr="00304946">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5E53D0" w:rsidP="00304946">
      <w:pPr>
        <w:tabs>
          <w:tab w:val="left" w:pos="-1440"/>
          <w:tab w:val="left" w:pos="-720"/>
        </w:tabs>
        <w:rPr>
          <w:rFonts w:ascii="Bookman Old Style" w:hAnsi="Bookman Old Style"/>
          <w:szCs w:val="24"/>
        </w:rPr>
      </w:pPr>
      <w:r w:rsidRPr="00304946">
        <w:rPr>
          <w:rFonts w:ascii="Bookman Old Style" w:hAnsi="Bookman Old Style"/>
          <w:szCs w:val="24"/>
        </w:rPr>
        <w:t>Dated and m</w:t>
      </w:r>
      <w:r w:rsidR="0046604B" w:rsidRPr="00304946">
        <w:rPr>
          <w:rFonts w:ascii="Bookman Old Style" w:hAnsi="Bookman Old Style"/>
          <w:szCs w:val="24"/>
        </w:rPr>
        <w:t xml:space="preserve">ailed on </w:t>
      </w:r>
      <w:r w:rsidR="00935AD8">
        <w:rPr>
          <w:rFonts w:ascii="Bookman Old Style" w:hAnsi="Bookman Old Style"/>
          <w:szCs w:val="24"/>
        </w:rPr>
        <w:t>September 13, 2021</w:t>
      </w:r>
      <w:r w:rsidR="0046604B" w:rsidRPr="00304946">
        <w:rPr>
          <w:rFonts w:ascii="Bookman Old Style" w:hAnsi="Bookman Old Style"/>
          <w:szCs w:val="24"/>
        </w:rPr>
        <w:t>.</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t xml:space="preserve">      </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p>
    <w:p w:rsidR="00C03E8B"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C03E8B">
        <w:rPr>
          <w:rFonts w:ascii="Bookman Old Style" w:hAnsi="Bookman Old Style"/>
          <w:szCs w:val="24"/>
        </w:rPr>
        <w:tab/>
        <w:t>Tom Mize</w:t>
      </w:r>
      <w:r w:rsidR="00591E67">
        <w:rPr>
          <w:rFonts w:ascii="Bookman Old Style" w:hAnsi="Bookman Old Style"/>
          <w:szCs w:val="24"/>
        </w:rPr>
        <w:t xml:space="preserve"> </w:t>
      </w:r>
    </w:p>
    <w:p w:rsidR="0046604B" w:rsidRPr="00304946" w:rsidRDefault="00C03E8B" w:rsidP="00304946">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591E67">
        <w:rPr>
          <w:rFonts w:ascii="Bookman Old Style" w:hAnsi="Bookman Old Style"/>
          <w:szCs w:val="24"/>
        </w:rPr>
        <w:t>Appeals</w:t>
      </w:r>
      <w:r w:rsidR="0046604B" w:rsidRPr="00304946">
        <w:rPr>
          <w:rFonts w:ascii="Bookman Old Style" w:hAnsi="Bookman Old Style"/>
          <w:szCs w:val="24"/>
        </w:rPr>
        <w:t xml:space="preserve"> Officer</w:t>
      </w:r>
    </w:p>
    <w:p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2B3" w:rsidRDefault="006D22B3">
      <w:pPr>
        <w:widowControl/>
        <w:spacing w:line="20" w:lineRule="exact"/>
      </w:pPr>
    </w:p>
  </w:endnote>
  <w:endnote w:type="continuationSeparator" w:id="0">
    <w:p w:rsidR="006D22B3" w:rsidRDefault="006D22B3">
      <w:r>
        <w:t xml:space="preserve"> </w:t>
      </w:r>
    </w:p>
  </w:endnote>
  <w:endnote w:type="continuationNotice" w:id="1">
    <w:p w:rsidR="006D22B3" w:rsidRDefault="006D22B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164" w:rsidRDefault="00A11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164" w:rsidRDefault="00A111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164" w:rsidRDefault="00A11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2B3" w:rsidRDefault="006D22B3">
      <w:r>
        <w:separator/>
      </w:r>
    </w:p>
  </w:footnote>
  <w:footnote w:type="continuationSeparator" w:id="0">
    <w:p w:rsidR="006D22B3" w:rsidRDefault="006D2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164" w:rsidRDefault="00A11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DC8" w:rsidRDefault="00970278">
    <w:pPr>
      <w:pStyle w:val="Header"/>
      <w:rPr>
        <w:rFonts w:ascii="Bookman Old Style" w:hAnsi="Bookman Old Style"/>
        <w:sz w:val="22"/>
      </w:rPr>
    </w:pPr>
    <w:r>
      <w:rPr>
        <w:rFonts w:ascii="Bookman Old Style" w:hAnsi="Bookman Old Style"/>
        <w:sz w:val="22"/>
      </w:rPr>
      <w:t>DK# 21 0722</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2976AB">
      <w:rPr>
        <w:rStyle w:val="PageNumber"/>
        <w:rFonts w:ascii="Bookman Old Style" w:hAnsi="Bookman Old Style"/>
        <w:noProof/>
      </w:rPr>
      <w:t>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164" w:rsidRDefault="00A111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09BA4DDA"/>
    <w:multiLevelType w:val="hybridMultilevel"/>
    <w:tmpl w:val="84A8A312"/>
    <w:lvl w:ilvl="0" w:tplc="ABA4474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2B24F0C"/>
    <w:multiLevelType w:val="hybridMultilevel"/>
    <w:tmpl w:val="2BAEFBBC"/>
    <w:lvl w:ilvl="0" w:tplc="595238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6BD63FAD"/>
    <w:multiLevelType w:val="hybridMultilevel"/>
    <w:tmpl w:val="DE224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4"/>
  </w:num>
  <w:num w:numId="2">
    <w:abstractNumId w:val="0"/>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8B"/>
    <w:rsid w:val="00001E6A"/>
    <w:rsid w:val="00034258"/>
    <w:rsid w:val="0007021A"/>
    <w:rsid w:val="000727D8"/>
    <w:rsid w:val="00087A38"/>
    <w:rsid w:val="000B3C03"/>
    <w:rsid w:val="000C07A1"/>
    <w:rsid w:val="000E242A"/>
    <w:rsid w:val="000E7714"/>
    <w:rsid w:val="000F4846"/>
    <w:rsid w:val="001249C2"/>
    <w:rsid w:val="00152606"/>
    <w:rsid w:val="00171C06"/>
    <w:rsid w:val="001E5A34"/>
    <w:rsid w:val="001F6B5B"/>
    <w:rsid w:val="00280EFF"/>
    <w:rsid w:val="002976AB"/>
    <w:rsid w:val="002A1EF1"/>
    <w:rsid w:val="002D7F1A"/>
    <w:rsid w:val="00304946"/>
    <w:rsid w:val="00324065"/>
    <w:rsid w:val="00341E3C"/>
    <w:rsid w:val="00347206"/>
    <w:rsid w:val="00382259"/>
    <w:rsid w:val="0046604B"/>
    <w:rsid w:val="00476DC4"/>
    <w:rsid w:val="004D05FC"/>
    <w:rsid w:val="004E01C7"/>
    <w:rsid w:val="004F3BD6"/>
    <w:rsid w:val="004F7405"/>
    <w:rsid w:val="00550884"/>
    <w:rsid w:val="00591E67"/>
    <w:rsid w:val="00591FFA"/>
    <w:rsid w:val="005A674B"/>
    <w:rsid w:val="005E0966"/>
    <w:rsid w:val="005E53D0"/>
    <w:rsid w:val="00682FEC"/>
    <w:rsid w:val="006A1396"/>
    <w:rsid w:val="006B6155"/>
    <w:rsid w:val="006C67EA"/>
    <w:rsid w:val="006D22B3"/>
    <w:rsid w:val="00703025"/>
    <w:rsid w:val="0070737C"/>
    <w:rsid w:val="00713867"/>
    <w:rsid w:val="0073389B"/>
    <w:rsid w:val="00746072"/>
    <w:rsid w:val="00780095"/>
    <w:rsid w:val="00782350"/>
    <w:rsid w:val="0078796F"/>
    <w:rsid w:val="008034CB"/>
    <w:rsid w:val="00812C65"/>
    <w:rsid w:val="00824A4C"/>
    <w:rsid w:val="00871694"/>
    <w:rsid w:val="00890A0D"/>
    <w:rsid w:val="00897129"/>
    <w:rsid w:val="008A3E67"/>
    <w:rsid w:val="008A7C3E"/>
    <w:rsid w:val="008E3C9F"/>
    <w:rsid w:val="0090239B"/>
    <w:rsid w:val="00935AD8"/>
    <w:rsid w:val="00970278"/>
    <w:rsid w:val="009842BF"/>
    <w:rsid w:val="009F1763"/>
    <w:rsid w:val="00A11164"/>
    <w:rsid w:val="00A158AF"/>
    <w:rsid w:val="00A91EDD"/>
    <w:rsid w:val="00AB39A5"/>
    <w:rsid w:val="00AD5027"/>
    <w:rsid w:val="00AE37DC"/>
    <w:rsid w:val="00AE39CC"/>
    <w:rsid w:val="00AE5DCB"/>
    <w:rsid w:val="00B6422F"/>
    <w:rsid w:val="00B72674"/>
    <w:rsid w:val="00B851A5"/>
    <w:rsid w:val="00BB5A6F"/>
    <w:rsid w:val="00BC45C9"/>
    <w:rsid w:val="00BD2E24"/>
    <w:rsid w:val="00C03E8B"/>
    <w:rsid w:val="00C56D4F"/>
    <w:rsid w:val="00CB3174"/>
    <w:rsid w:val="00CF010C"/>
    <w:rsid w:val="00D94DC8"/>
    <w:rsid w:val="00DC68B2"/>
    <w:rsid w:val="00E13AAA"/>
    <w:rsid w:val="00E2668C"/>
    <w:rsid w:val="00E95F25"/>
    <w:rsid w:val="00EA2CC6"/>
    <w:rsid w:val="00EB4EAF"/>
    <w:rsid w:val="00F06561"/>
    <w:rsid w:val="00F15EFB"/>
    <w:rsid w:val="00F82055"/>
    <w:rsid w:val="00F862E5"/>
    <w:rsid w:val="00F9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6E6D93"/>
  <w15:chartTrackingRefBased/>
  <w15:docId w15:val="{B738F8AF-070F-4618-9400-F008009A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semiHidden/>
    <w:rsid w:val="0078796F"/>
    <w:rPr>
      <w:rFonts w:ascii="Cambria" w:eastAsia="Times New Roman" w:hAnsi="Cambria" w:cs="Times New Roman"/>
      <w:b/>
      <w:bCs/>
      <w:i/>
      <w:iCs/>
      <w:snapToGrid w:val="0"/>
      <w:color w:val="4F81BD"/>
      <w:sz w:val="24"/>
    </w:rPr>
  </w:style>
  <w:style w:type="paragraph" w:customStyle="1" w:styleId="Default">
    <w:name w:val="Default"/>
    <w:rsid w:val="00BB5A6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E5DCB"/>
    <w:pPr>
      <w:snapToGrid w:val="0"/>
      <w:ind w:left="720"/>
      <w:contextualSpacing/>
    </w:pPr>
    <w:rPr>
      <w:snapToGrid/>
    </w:rPr>
  </w:style>
  <w:style w:type="character" w:customStyle="1" w:styleId="EndnoteTextChar">
    <w:name w:val="Endnote Text Char"/>
    <w:basedOn w:val="DefaultParagraphFont"/>
    <w:link w:val="EndnoteText"/>
    <w:semiHidden/>
    <w:rsid w:val="006A1396"/>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1687438867">
      <w:bodyDiv w:val="1"/>
      <w:marLeft w:val="0"/>
      <w:marRight w:val="0"/>
      <w:marTop w:val="0"/>
      <w:marBottom w:val="0"/>
      <w:divBdr>
        <w:top w:val="none" w:sz="0" w:space="0" w:color="auto"/>
        <w:left w:val="none" w:sz="0" w:space="0" w:color="auto"/>
        <w:bottom w:val="none" w:sz="0" w:space="0" w:color="auto"/>
        <w:right w:val="none" w:sz="0" w:space="0" w:color="auto"/>
      </w:divBdr>
    </w:div>
    <w:div w:id="207076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Tom's%20new%20templates\03-81-85%20Timeliness%20and%20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71025-6283-4D9D-A012-26BCA3BBD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03-81-85 Timeliness and EB.dot</Template>
  <TotalTime>45</TotalTime>
  <Pages>1</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Mize, Thomas L (DOL)</dc:creator>
  <cp:keywords/>
  <cp:lastModifiedBy>Mize, Tom L (DOL)</cp:lastModifiedBy>
  <cp:revision>10</cp:revision>
  <cp:lastPrinted>2021-09-13T19:09:00Z</cp:lastPrinted>
  <dcterms:created xsi:type="dcterms:W3CDTF">2021-09-13T18:15:00Z</dcterms:created>
  <dcterms:modified xsi:type="dcterms:W3CDTF">2021-09-13T19:16:00Z</dcterms:modified>
</cp:coreProperties>
</file>