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5CBC" w14:textId="77777777" w:rsidR="005E68FF" w:rsidRDefault="00B859EC"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w14:anchorId="4B067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1pt;margin-top:-5.85pt;width:586.9pt;height:137.8pt;z-index:-251658752">
            <v:imagedata r:id="rId7" o:title="Appeals_Letterhead_Banner"/>
          </v:shape>
        </w:pict>
      </w:r>
    </w:p>
    <w:p w14:paraId="4C0F5FEE" w14:textId="77777777" w:rsidR="005E68FF" w:rsidRDefault="005E68FF" w:rsidP="005E68FF">
      <w:pPr>
        <w:pStyle w:val="Heading3"/>
        <w:widowControl/>
        <w:tabs>
          <w:tab w:val="center" w:pos="4680"/>
        </w:tabs>
        <w:suppressAutoHyphens/>
        <w:rPr>
          <w:rFonts w:ascii="Bookman Old Style" w:hAnsi="Bookman Old Style"/>
        </w:rPr>
      </w:pPr>
    </w:p>
    <w:p w14:paraId="04DFF9D1" w14:textId="77777777" w:rsidR="005E68FF" w:rsidRDefault="005E68FF" w:rsidP="005E68FF">
      <w:pPr>
        <w:pStyle w:val="Heading3"/>
        <w:widowControl/>
        <w:tabs>
          <w:tab w:val="center" w:pos="4680"/>
        </w:tabs>
        <w:suppressAutoHyphens/>
        <w:rPr>
          <w:rFonts w:ascii="Bookman Old Style" w:hAnsi="Bookman Old Style"/>
        </w:rPr>
      </w:pPr>
    </w:p>
    <w:p w14:paraId="1F7F7DED" w14:textId="77777777" w:rsidR="005E68FF" w:rsidRDefault="005E68FF" w:rsidP="005E68FF">
      <w:pPr>
        <w:pStyle w:val="Heading3"/>
        <w:widowControl/>
        <w:tabs>
          <w:tab w:val="center" w:pos="4680"/>
        </w:tabs>
        <w:suppressAutoHyphens/>
        <w:rPr>
          <w:rFonts w:ascii="Bookman Old Style" w:hAnsi="Bookman Old Style"/>
        </w:rPr>
      </w:pPr>
    </w:p>
    <w:p w14:paraId="790EAD02" w14:textId="77777777" w:rsidR="005E68FF" w:rsidRDefault="005E68FF" w:rsidP="005E68FF">
      <w:pPr>
        <w:pStyle w:val="Heading3"/>
        <w:widowControl/>
        <w:tabs>
          <w:tab w:val="center" w:pos="4680"/>
        </w:tabs>
        <w:suppressAutoHyphens/>
        <w:rPr>
          <w:rFonts w:ascii="Bookman Old Style" w:hAnsi="Bookman Old Style"/>
        </w:rPr>
      </w:pPr>
    </w:p>
    <w:p w14:paraId="4310239B" w14:textId="77777777" w:rsidR="005E68FF" w:rsidRDefault="005E68FF" w:rsidP="005E68FF">
      <w:pPr>
        <w:pStyle w:val="Heading3"/>
        <w:widowControl/>
        <w:tabs>
          <w:tab w:val="center" w:pos="4680"/>
        </w:tabs>
        <w:suppressAutoHyphens/>
        <w:rPr>
          <w:rFonts w:ascii="Bookman Old Style" w:hAnsi="Bookman Old Style"/>
        </w:rPr>
      </w:pPr>
    </w:p>
    <w:p w14:paraId="5D32D124" w14:textId="77777777" w:rsidR="005E68FF" w:rsidRDefault="005E68FF" w:rsidP="005E68FF">
      <w:pPr>
        <w:pStyle w:val="Heading3"/>
        <w:widowControl/>
        <w:tabs>
          <w:tab w:val="center" w:pos="4680"/>
        </w:tabs>
        <w:suppressAutoHyphens/>
        <w:rPr>
          <w:rFonts w:ascii="Bookman Old Style" w:hAnsi="Bookman Old Style"/>
        </w:rPr>
      </w:pPr>
    </w:p>
    <w:p w14:paraId="018E3822" w14:textId="1EFFE6F1" w:rsidR="005E68FF" w:rsidRDefault="005E68FF" w:rsidP="005E68FF">
      <w:pPr>
        <w:widowControl/>
        <w:tabs>
          <w:tab w:val="left" w:pos="-720"/>
        </w:tabs>
        <w:suppressAutoHyphens/>
        <w:rPr>
          <w:rFonts w:ascii="Bookman Old Style" w:hAnsi="Bookman Old Style"/>
        </w:rPr>
      </w:pPr>
    </w:p>
    <w:p w14:paraId="5A4B5BCE" w14:textId="180DC6C7" w:rsidR="005C7676" w:rsidRDefault="005C7676" w:rsidP="005E68FF">
      <w:pPr>
        <w:widowControl/>
        <w:tabs>
          <w:tab w:val="left" w:pos="-720"/>
        </w:tabs>
        <w:suppressAutoHyphens/>
        <w:rPr>
          <w:rFonts w:ascii="Bookman Old Style" w:hAnsi="Bookman Old Style"/>
        </w:rPr>
      </w:pPr>
    </w:p>
    <w:p w14:paraId="638F8B12" w14:textId="77777777" w:rsidR="005C7676" w:rsidRDefault="005C7676" w:rsidP="005E68FF">
      <w:pPr>
        <w:widowControl/>
        <w:tabs>
          <w:tab w:val="left" w:pos="-720"/>
        </w:tabs>
        <w:suppressAutoHyphens/>
        <w:rPr>
          <w:rFonts w:ascii="Bookman Old Style" w:hAnsi="Bookman Old Style"/>
        </w:rPr>
      </w:pPr>
    </w:p>
    <w:p w14:paraId="480C32F6"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170BF391"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408BCBB5" w14:textId="445C66FB"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D2451B">
        <w:rPr>
          <w:rFonts w:ascii="Bookman Old Style" w:hAnsi="Bookman Old Style"/>
          <w:szCs w:val="24"/>
        </w:rPr>
        <w:t>21 0723</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D2451B">
        <w:rPr>
          <w:rFonts w:ascii="Bookman Old Style" w:hAnsi="Bookman Old Style"/>
          <w:szCs w:val="24"/>
        </w:rPr>
        <w:t>September 22, 2021</w:t>
      </w:r>
    </w:p>
    <w:p w14:paraId="4E12A3EA" w14:textId="77777777" w:rsidR="0016206D" w:rsidRPr="00FB77CC" w:rsidRDefault="0016206D" w:rsidP="00FB77CC">
      <w:pPr>
        <w:tabs>
          <w:tab w:val="left" w:pos="-720"/>
        </w:tabs>
        <w:suppressAutoHyphens/>
        <w:rPr>
          <w:rFonts w:ascii="Bookman Old Style" w:hAnsi="Bookman Old Style"/>
          <w:szCs w:val="24"/>
        </w:rPr>
      </w:pPr>
    </w:p>
    <w:p w14:paraId="3C271496"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424D8A65"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10CDCC0E" w14:textId="0DD8F6F3" w:rsidR="00D2451B" w:rsidRPr="00D2451B" w:rsidRDefault="00D2451B" w:rsidP="00D2451B">
      <w:pPr>
        <w:tabs>
          <w:tab w:val="left" w:pos="-1440"/>
          <w:tab w:val="left" w:pos="-720"/>
          <w:tab w:val="left" w:pos="0"/>
          <w:tab w:val="left" w:pos="5040"/>
          <w:tab w:val="left" w:pos="5760"/>
        </w:tabs>
        <w:suppressAutoHyphens/>
        <w:ind w:right="-360"/>
        <w:rPr>
          <w:rFonts w:ascii="Bookman Old Style" w:hAnsi="Bookman Old Style"/>
          <w:szCs w:val="24"/>
        </w:rPr>
      </w:pPr>
      <w:r w:rsidRPr="00D2451B">
        <w:rPr>
          <w:rFonts w:ascii="Bookman Old Style" w:hAnsi="Bookman Old Style"/>
          <w:szCs w:val="24"/>
        </w:rPr>
        <w:t>SETH COX</w:t>
      </w:r>
      <w:r>
        <w:rPr>
          <w:rFonts w:ascii="Bookman Old Style" w:hAnsi="Bookman Old Style"/>
          <w:szCs w:val="24"/>
        </w:rPr>
        <w:tab/>
      </w:r>
      <w:r w:rsidRPr="00D2451B">
        <w:rPr>
          <w:rFonts w:ascii="Bookman Old Style" w:hAnsi="Bookman Old Style"/>
          <w:szCs w:val="24"/>
        </w:rPr>
        <w:t>ACE HOLDINGS LLC</w:t>
      </w:r>
    </w:p>
    <w:p w14:paraId="5F79F8F2" w14:textId="26CD72C6"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32B8E189" w14:textId="79B102CF" w:rsidR="00B859EC" w:rsidRDefault="00B859EC" w:rsidP="00FB77CC">
      <w:pPr>
        <w:tabs>
          <w:tab w:val="left" w:pos="-1440"/>
          <w:tab w:val="left" w:pos="-720"/>
          <w:tab w:val="left" w:pos="0"/>
          <w:tab w:val="left" w:pos="5760"/>
        </w:tabs>
        <w:suppressAutoHyphens/>
        <w:ind w:right="-360"/>
        <w:rPr>
          <w:rFonts w:ascii="Bookman Old Style" w:hAnsi="Bookman Old Style"/>
          <w:szCs w:val="24"/>
        </w:rPr>
      </w:pPr>
    </w:p>
    <w:p w14:paraId="16C5A854" w14:textId="77777777" w:rsidR="00B859EC" w:rsidRPr="00FB77CC" w:rsidRDefault="00B859EC" w:rsidP="00FB77CC">
      <w:pPr>
        <w:tabs>
          <w:tab w:val="left" w:pos="-1440"/>
          <w:tab w:val="left" w:pos="-720"/>
          <w:tab w:val="left" w:pos="0"/>
          <w:tab w:val="left" w:pos="5760"/>
        </w:tabs>
        <w:suppressAutoHyphens/>
        <w:ind w:right="-360"/>
        <w:rPr>
          <w:rFonts w:ascii="Bookman Old Style" w:hAnsi="Bookman Old Style"/>
          <w:szCs w:val="24"/>
        </w:rPr>
      </w:pPr>
    </w:p>
    <w:p w14:paraId="6550578B"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563B6475"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3F89CB19" w14:textId="464E03EA" w:rsidR="0016206D" w:rsidRDefault="00D2451B"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Seth Cox</w:t>
      </w:r>
      <w:r w:rsidR="00C841ED" w:rsidRPr="00FB77CC">
        <w:rPr>
          <w:rFonts w:ascii="Bookman Old Style" w:hAnsi="Bookman Old Style"/>
          <w:szCs w:val="24"/>
        </w:rPr>
        <w:tab/>
      </w:r>
      <w:r>
        <w:rPr>
          <w:rFonts w:ascii="Bookman Old Style" w:hAnsi="Bookman Old Style"/>
          <w:szCs w:val="24"/>
        </w:rPr>
        <w:t>None</w:t>
      </w:r>
    </w:p>
    <w:p w14:paraId="39F8F7A8" w14:textId="77777777" w:rsidR="00D2451B" w:rsidRPr="00FB77CC" w:rsidRDefault="00D2451B" w:rsidP="00FB77CC">
      <w:pPr>
        <w:tabs>
          <w:tab w:val="left" w:pos="-1440"/>
          <w:tab w:val="left" w:pos="-720"/>
          <w:tab w:val="left" w:pos="0"/>
          <w:tab w:val="left" w:pos="5040"/>
          <w:tab w:val="left" w:pos="5760"/>
        </w:tabs>
        <w:suppressAutoHyphens/>
        <w:ind w:right="-360"/>
        <w:rPr>
          <w:rFonts w:ascii="Bookman Old Style" w:hAnsi="Bookman Old Style"/>
          <w:szCs w:val="24"/>
        </w:rPr>
      </w:pPr>
    </w:p>
    <w:p w14:paraId="0EC3B69B"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05410F03" w14:textId="77777777" w:rsidR="0016206D" w:rsidRPr="00FB77CC" w:rsidRDefault="0016206D" w:rsidP="00FB77CC">
      <w:pPr>
        <w:tabs>
          <w:tab w:val="center" w:pos="4860"/>
        </w:tabs>
        <w:suppressAutoHyphens/>
        <w:ind w:right="-360"/>
        <w:rPr>
          <w:rFonts w:ascii="Bookman Old Style" w:hAnsi="Bookman Old Style"/>
          <w:szCs w:val="24"/>
        </w:rPr>
      </w:pPr>
    </w:p>
    <w:p w14:paraId="3964FBFD" w14:textId="48B33B8A" w:rsidR="0016206D" w:rsidRPr="005C7676" w:rsidRDefault="003F54EA" w:rsidP="005C7676">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D2451B">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D2451B">
        <w:rPr>
          <w:rFonts w:ascii="Bookman Old Style" w:hAnsi="Bookman Old Style"/>
          <w:snapToGrid/>
          <w:szCs w:val="24"/>
        </w:rPr>
        <w:t xml:space="preserve">March 5, </w:t>
      </w:r>
      <w:proofErr w:type="gramStart"/>
      <w:r w:rsidR="00D2451B">
        <w:rPr>
          <w:rFonts w:ascii="Bookman Old Style" w:hAnsi="Bookman Old Style"/>
          <w:snapToGrid/>
          <w:szCs w:val="24"/>
        </w:rPr>
        <w:t>2021</w:t>
      </w:r>
      <w:proofErr w:type="gramEnd"/>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7223F73E"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68D0F9A9"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0AF8543" w14:textId="2BD6A048" w:rsidR="003F54EA" w:rsidRPr="00FB77CC"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w:t>
      </w:r>
      <w:r w:rsidR="00D2451B">
        <w:rPr>
          <w:rFonts w:ascii="Bookman Old Style" w:hAnsi="Bookman Old Style"/>
          <w:snapToGrid/>
          <w:szCs w:val="24"/>
        </w:rPr>
        <w:t>i</w:t>
      </w:r>
      <w:r w:rsidRPr="00FB77CC">
        <w:rPr>
          <w:rFonts w:ascii="Bookman Old Style" w:hAnsi="Bookman Old Style"/>
          <w:snapToGrid/>
          <w:szCs w:val="24"/>
        </w:rPr>
        <w:t xml:space="preserve">n </w:t>
      </w:r>
      <w:r w:rsidR="00D2451B">
        <w:rPr>
          <w:rFonts w:ascii="Bookman Old Style" w:hAnsi="Bookman Old Style"/>
          <w:snapToGrid/>
          <w:szCs w:val="24"/>
        </w:rPr>
        <w:t>July 2017</w:t>
      </w:r>
      <w:r w:rsidRPr="00FB77CC">
        <w:rPr>
          <w:rFonts w:ascii="Bookman Old Style" w:hAnsi="Bookman Old Style"/>
          <w:snapToGrid/>
          <w:szCs w:val="24"/>
        </w:rPr>
        <w:t xml:space="preserve">. </w:t>
      </w:r>
      <w:r w:rsidR="00D2451B">
        <w:rPr>
          <w:rFonts w:ascii="Bookman Old Style" w:hAnsi="Bookman Old Style"/>
          <w:snapToGrid/>
          <w:szCs w:val="24"/>
        </w:rPr>
        <w:t>He</w:t>
      </w:r>
      <w:r w:rsidRPr="00FB77CC">
        <w:rPr>
          <w:rFonts w:ascii="Bookman Old Style" w:hAnsi="Bookman Old Style"/>
          <w:snapToGrid/>
          <w:szCs w:val="24"/>
        </w:rPr>
        <w:t xml:space="preserve"> last worked on </w:t>
      </w:r>
      <w:r w:rsidR="00D2451B">
        <w:rPr>
          <w:rFonts w:ascii="Bookman Old Style" w:hAnsi="Bookman Old Style"/>
          <w:snapToGrid/>
          <w:szCs w:val="24"/>
        </w:rPr>
        <w:t>October 23, 2020</w:t>
      </w:r>
      <w:r w:rsidRPr="00FB77CC">
        <w:rPr>
          <w:rFonts w:ascii="Bookman Old Style" w:hAnsi="Bookman Old Style"/>
          <w:snapToGrid/>
          <w:szCs w:val="24"/>
        </w:rPr>
        <w:t xml:space="preserve">. At that time, </w:t>
      </w:r>
      <w:r w:rsidR="00D2451B">
        <w:rPr>
          <w:rFonts w:ascii="Bookman Old Style" w:hAnsi="Bookman Old Style"/>
          <w:snapToGrid/>
          <w:szCs w:val="24"/>
        </w:rPr>
        <w:t>he</w:t>
      </w:r>
      <w:r w:rsidRPr="00FB77CC">
        <w:rPr>
          <w:rFonts w:ascii="Bookman Old Style" w:hAnsi="Bookman Old Style"/>
          <w:snapToGrid/>
          <w:szCs w:val="24"/>
        </w:rPr>
        <w:t xml:space="preserve"> worked </w:t>
      </w:r>
      <w:r w:rsidR="00D2451B">
        <w:rPr>
          <w:rFonts w:ascii="Bookman Old Style" w:hAnsi="Bookman Old Style"/>
          <w:snapToGrid/>
          <w:szCs w:val="24"/>
        </w:rPr>
        <w:t>full time tending plants</w:t>
      </w:r>
      <w:r w:rsidRPr="00FB77CC">
        <w:rPr>
          <w:rFonts w:ascii="Bookman Old Style" w:hAnsi="Bookman Old Style"/>
          <w:snapToGrid/>
          <w:szCs w:val="24"/>
        </w:rPr>
        <w:t>.</w:t>
      </w:r>
    </w:p>
    <w:p w14:paraId="68980B5E" w14:textId="6B83AC15" w:rsidR="0016206D" w:rsidRDefault="00D2451B"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On the claimant’s last day of work, he was advised by the </w:t>
      </w:r>
      <w:r w:rsidR="005C7676">
        <w:rPr>
          <w:rFonts w:ascii="Bookman Old Style" w:hAnsi="Bookman Old Style"/>
          <w:szCs w:val="24"/>
        </w:rPr>
        <w:t>owner and manager that he was being let go because it wasn’t working out.  The claimant speculated that he was discharged because did not get along with the new manager that had started a couple months earlier.</w:t>
      </w:r>
    </w:p>
    <w:p w14:paraId="356D9DA3" w14:textId="4945415E" w:rsidR="005C7676" w:rsidRDefault="005C7676" w:rsidP="00FB77CC">
      <w:pPr>
        <w:tabs>
          <w:tab w:val="left" w:pos="-1440"/>
          <w:tab w:val="left" w:pos="-720"/>
        </w:tabs>
        <w:suppressAutoHyphens/>
        <w:ind w:right="-360"/>
        <w:rPr>
          <w:rFonts w:ascii="Bookman Old Style" w:hAnsi="Bookman Old Style"/>
          <w:szCs w:val="24"/>
        </w:rPr>
      </w:pPr>
    </w:p>
    <w:p w14:paraId="00E9941C" w14:textId="4DB2354A" w:rsidR="005C7676" w:rsidRPr="00FB77CC" w:rsidRDefault="005C767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Documents in the record indicate the employer told the Division that the claimant was discharged for drinking on the job after warning.  The claimant denied that he had ever been warned for such behavior and held that the owner brought beer in for employees to celebrate harvest and drinking on the clock was accepted behavior. The claimant denied that he had consumed alcohol on his last day of employment.  </w:t>
      </w:r>
    </w:p>
    <w:p w14:paraId="2BF8FF8D" w14:textId="4A05AA80" w:rsidR="0016206D" w:rsidRDefault="0016206D" w:rsidP="00FB77CC">
      <w:pPr>
        <w:tabs>
          <w:tab w:val="left" w:pos="-1440"/>
          <w:tab w:val="left" w:pos="-720"/>
        </w:tabs>
        <w:suppressAutoHyphens/>
        <w:ind w:right="-360"/>
        <w:rPr>
          <w:rFonts w:ascii="Bookman Old Style" w:hAnsi="Bookman Old Style"/>
          <w:szCs w:val="24"/>
        </w:rPr>
      </w:pPr>
    </w:p>
    <w:p w14:paraId="566ABE33" w14:textId="77777777" w:rsidR="0000115E" w:rsidRPr="00FB77CC" w:rsidRDefault="0000115E" w:rsidP="00FB77CC">
      <w:pPr>
        <w:tabs>
          <w:tab w:val="left" w:pos="-1440"/>
          <w:tab w:val="left" w:pos="-720"/>
        </w:tabs>
        <w:suppressAutoHyphens/>
        <w:ind w:right="-360"/>
        <w:rPr>
          <w:rFonts w:ascii="Bookman Old Style" w:hAnsi="Bookman Old Style"/>
          <w:szCs w:val="24"/>
        </w:rPr>
      </w:pPr>
    </w:p>
    <w:p w14:paraId="0A708078"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lastRenderedPageBreak/>
        <w:t>PROVISIONS OF LAW</w:t>
      </w:r>
    </w:p>
    <w:p w14:paraId="18FD3092"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43D14A0"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764D11D1"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04C8CDC7" w14:textId="4E3297F9" w:rsidR="00E1431E" w:rsidRPr="00FB77CC" w:rsidRDefault="0016206D" w:rsidP="00FA4500">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268AFACD"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3CC4441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50751A5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378082B4"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5822F9F9"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3B73314C" w14:textId="05FD08F9" w:rsidR="0016206D" w:rsidRPr="00FB77CC" w:rsidRDefault="00E1431E" w:rsidP="00FA4500">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4D3711A4"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54ACA30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7DF75DAB"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15D15B5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BA8DF03" w14:textId="337A4D6D" w:rsidR="0016206D" w:rsidRDefault="00FA4500"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claimant in this case was told he was being let go because it was not working out.  The employer told the Division the claimant was discharged for consuming alcohol at work after warning.</w:t>
      </w:r>
    </w:p>
    <w:p w14:paraId="75F9219E" w14:textId="718B8E20" w:rsidR="00FA4500" w:rsidRDefault="00FA4500" w:rsidP="00FB77CC">
      <w:pPr>
        <w:tabs>
          <w:tab w:val="left" w:pos="-1440"/>
          <w:tab w:val="left" w:pos="-720"/>
        </w:tabs>
        <w:suppressAutoHyphens/>
        <w:ind w:right="-360"/>
        <w:rPr>
          <w:rFonts w:ascii="Bookman Old Style" w:hAnsi="Bookman Old Style"/>
          <w:szCs w:val="24"/>
        </w:rPr>
      </w:pPr>
    </w:p>
    <w:p w14:paraId="50FC357C" w14:textId="77777777" w:rsidR="00FA4500" w:rsidRDefault="00FA4500" w:rsidP="00FA4500">
      <w:pPr>
        <w:tabs>
          <w:tab w:val="left" w:pos="-360"/>
        </w:tabs>
        <w:ind w:left="720"/>
        <w:rPr>
          <w:rFonts w:ascii="Bookman Old Style" w:hAnsi="Bookman Old Style"/>
          <w:i/>
          <w:szCs w:val="24"/>
        </w:rPr>
      </w:pPr>
      <w:r>
        <w:rPr>
          <w:rFonts w:ascii="Bookman Old Style" w:hAnsi="Bookman Old Style"/>
          <w:i/>
          <w:szCs w:val="24"/>
        </w:rPr>
        <w:t xml:space="preserve">Misconduct cannot be established </w:t>
      </w:r>
      <w:proofErr w:type="gramStart"/>
      <w:r>
        <w:rPr>
          <w:rFonts w:ascii="Bookman Old Style" w:hAnsi="Bookman Old Style"/>
          <w:i/>
          <w:szCs w:val="24"/>
        </w:rPr>
        <w:t>on the basis of</w:t>
      </w:r>
      <w:proofErr w:type="gramEnd"/>
      <w:r>
        <w:rPr>
          <w:rFonts w:ascii="Bookman Old Style" w:hAnsi="Bookman Old Style"/>
          <w:i/>
          <w:szCs w:val="24"/>
        </w:rPr>
        <w:t xml:space="preserve"> unproven allegations. </w:t>
      </w:r>
      <w:r>
        <w:rPr>
          <w:rFonts w:ascii="Bookman Old Style" w:hAnsi="Bookman Old Style"/>
          <w:i/>
          <w:szCs w:val="24"/>
          <w:u w:val="single"/>
        </w:rPr>
        <w:t>Cole</w:t>
      </w:r>
      <w:r>
        <w:rPr>
          <w:rFonts w:ascii="Bookman Old Style" w:hAnsi="Bookman Old Style"/>
          <w:i/>
          <w:szCs w:val="24"/>
        </w:rPr>
        <w:t>, Com. Dec. 85HUI006, January 22, 1985.</w:t>
      </w:r>
    </w:p>
    <w:p w14:paraId="769CBFC5" w14:textId="77777777" w:rsidR="00FA4500" w:rsidRDefault="00FA4500" w:rsidP="00FA4500">
      <w:pPr>
        <w:tabs>
          <w:tab w:val="left" w:pos="-360"/>
        </w:tabs>
        <w:ind w:left="720"/>
        <w:rPr>
          <w:rFonts w:ascii="Bookman Old Style" w:hAnsi="Bookman Old Style"/>
          <w:i/>
          <w:szCs w:val="24"/>
        </w:rPr>
      </w:pPr>
    </w:p>
    <w:p w14:paraId="7675CDB7" w14:textId="77777777" w:rsidR="00FA4500" w:rsidRDefault="00FA4500" w:rsidP="00FA4500">
      <w:pPr>
        <w:tabs>
          <w:tab w:val="left" w:pos="-360"/>
        </w:tabs>
        <w:ind w:left="720"/>
        <w:rPr>
          <w:rFonts w:ascii="Bookman Old Style" w:hAnsi="Bookman Old Style"/>
          <w:i/>
          <w:spacing w:val="-3"/>
          <w:szCs w:val="24"/>
        </w:rPr>
      </w:pPr>
      <w:r>
        <w:rPr>
          <w:rFonts w:ascii="Bookman Old Style" w:hAnsi="Bookman Old Style"/>
          <w:i/>
          <w:spacing w:val="-3"/>
          <w:szCs w:val="24"/>
        </w:rPr>
        <w:t xml:space="preserve">When a worker has been discharged, the burden of persuasion rests upon the employer to establish that the worker was discharged for misconduct in connection with the work. </w:t>
      </w:r>
      <w:proofErr w:type="gramStart"/>
      <w:r>
        <w:rPr>
          <w:rFonts w:ascii="Bookman Old Style" w:hAnsi="Bookman Old Style"/>
          <w:i/>
          <w:spacing w:val="-3"/>
          <w:szCs w:val="24"/>
        </w:rPr>
        <w:t>In order to</w:t>
      </w:r>
      <w:proofErr w:type="gramEnd"/>
      <w:r>
        <w:rPr>
          <w:rFonts w:ascii="Bookman Old Style" w:hAnsi="Bookman Old Style"/>
          <w:i/>
          <w:spacing w:val="-3"/>
          <w:szCs w:val="24"/>
        </w:rPr>
        <w:t xml:space="preserve"> bear out that burden, it is necessary that the employer bring forth evidence of a sufficient quantity and quality to establish that misconduct was involved. </w:t>
      </w:r>
      <w:proofErr w:type="spellStart"/>
      <w:r>
        <w:rPr>
          <w:rFonts w:ascii="Bookman Old Style" w:hAnsi="Bookman Old Style"/>
          <w:i/>
          <w:spacing w:val="-3"/>
          <w:szCs w:val="24"/>
          <w:u w:val="single"/>
        </w:rPr>
        <w:t>Rednal</w:t>
      </w:r>
      <w:proofErr w:type="spellEnd"/>
      <w:r>
        <w:rPr>
          <w:rFonts w:ascii="Bookman Old Style" w:hAnsi="Bookman Old Style"/>
          <w:i/>
          <w:spacing w:val="-3"/>
          <w:szCs w:val="24"/>
        </w:rPr>
        <w:t>, Com. Dec. 86H</w:t>
      </w:r>
      <w:r>
        <w:rPr>
          <w:rFonts w:ascii="Bookman Old Style" w:hAnsi="Bookman Old Style"/>
          <w:i/>
          <w:spacing w:val="-3"/>
          <w:szCs w:val="24"/>
        </w:rPr>
        <w:noBreakHyphen/>
        <w:t>UI-213, August 25, 1986.</w:t>
      </w:r>
    </w:p>
    <w:p w14:paraId="2061EE14" w14:textId="77777777" w:rsidR="00FA4500" w:rsidRDefault="00FA4500" w:rsidP="00FA4500">
      <w:pPr>
        <w:widowControl/>
        <w:tabs>
          <w:tab w:val="left" w:pos="-1440"/>
          <w:tab w:val="left" w:pos="-720"/>
          <w:tab w:val="left" w:pos="-360"/>
        </w:tabs>
        <w:suppressAutoHyphens/>
        <w:ind w:left="720"/>
        <w:rPr>
          <w:rFonts w:ascii="Bookman Old Style" w:hAnsi="Bookman Old Style"/>
          <w:szCs w:val="24"/>
        </w:rPr>
      </w:pPr>
    </w:p>
    <w:p w14:paraId="67F72DD6" w14:textId="77777777" w:rsidR="00FA4500" w:rsidRDefault="00FA4500" w:rsidP="00FA4500">
      <w:pPr>
        <w:tabs>
          <w:tab w:val="left" w:pos="-1440"/>
          <w:tab w:val="left" w:pos="-720"/>
        </w:tabs>
        <w:suppressAutoHyphens/>
        <w:rPr>
          <w:rFonts w:ascii="Bookman Old Style" w:hAnsi="Bookman Old Style"/>
          <w:i/>
          <w:spacing w:val="-3"/>
        </w:rPr>
      </w:pPr>
      <w:r>
        <w:rPr>
          <w:rFonts w:ascii="Bookman Old Style" w:hAnsi="Bookman Old Style"/>
          <w:szCs w:val="24"/>
        </w:rPr>
        <w:t xml:space="preserve">The decision in this matter turns on the weight of the evidence. </w:t>
      </w:r>
      <w:r w:rsidRPr="000F6352">
        <w:rPr>
          <w:rFonts w:ascii="Bookman Old Style" w:hAnsi="Bookman Old Style"/>
          <w:szCs w:val="24"/>
        </w:rPr>
        <w:t xml:space="preserve">In </w:t>
      </w:r>
      <w:r w:rsidRPr="000F6352">
        <w:rPr>
          <w:rFonts w:ascii="Bookman Old Style" w:hAnsi="Bookman Old Style"/>
          <w:spacing w:val="-3"/>
          <w:u w:val="single"/>
        </w:rPr>
        <w:t>Weaver</w:t>
      </w:r>
      <w:r>
        <w:rPr>
          <w:rFonts w:ascii="Bookman Old Style" w:hAnsi="Bookman Old Style"/>
          <w:spacing w:val="-3"/>
        </w:rPr>
        <w:t>, Co</w:t>
      </w:r>
      <w:r w:rsidRPr="000F6352">
        <w:rPr>
          <w:rFonts w:ascii="Bookman Old Style" w:hAnsi="Bookman Old Style"/>
          <w:spacing w:val="-3"/>
        </w:rPr>
        <w:t>m. Dec. 96</w:t>
      </w:r>
      <w:proofErr w:type="gramStart"/>
      <w:r w:rsidRPr="000F6352">
        <w:rPr>
          <w:rFonts w:ascii="Bookman Old Style" w:hAnsi="Bookman Old Style"/>
          <w:spacing w:val="-3"/>
        </w:rPr>
        <w:t> 2687</w:t>
      </w:r>
      <w:proofErr w:type="gramEnd"/>
      <w:r w:rsidRPr="000F6352">
        <w:rPr>
          <w:rFonts w:ascii="Bookman Old Style" w:hAnsi="Bookman Old Style"/>
          <w:spacing w:val="-3"/>
        </w:rPr>
        <w:t>, February 13, 1997. The commissioner has held in part:</w:t>
      </w:r>
      <w:r>
        <w:rPr>
          <w:rFonts w:ascii="Bookman Old Style" w:hAnsi="Bookman Old Style"/>
          <w:szCs w:val="24"/>
        </w:rPr>
        <w:t xml:space="preserve"> </w:t>
      </w:r>
    </w:p>
    <w:p w14:paraId="10A649E8" w14:textId="77777777" w:rsidR="00FA4500" w:rsidRDefault="00FA4500" w:rsidP="00FA4500">
      <w:pPr>
        <w:tabs>
          <w:tab w:val="left" w:pos="-1440"/>
          <w:tab w:val="left" w:pos="-720"/>
        </w:tabs>
        <w:suppressAutoHyphens/>
        <w:rPr>
          <w:rFonts w:ascii="Bookman Old Style" w:hAnsi="Bookman Old Style"/>
          <w:i/>
          <w:spacing w:val="-3"/>
        </w:rPr>
      </w:pPr>
    </w:p>
    <w:p w14:paraId="566DF09E" w14:textId="77777777" w:rsidR="00FA4500" w:rsidRDefault="00FA4500" w:rsidP="00FA4500">
      <w:pPr>
        <w:tabs>
          <w:tab w:val="left" w:pos="-1440"/>
          <w:tab w:val="left" w:pos="-720"/>
        </w:tabs>
        <w:suppressAutoHyphens/>
        <w:ind w:left="720"/>
        <w:rPr>
          <w:rFonts w:ascii="Bookman Old Style" w:hAnsi="Bookman Old Style"/>
          <w:i/>
          <w:spacing w:val="-3"/>
        </w:rPr>
      </w:pPr>
      <w:r w:rsidRPr="00F73426">
        <w:rPr>
          <w:rFonts w:ascii="Bookman Old Style" w:hAnsi="Bookman Old Style"/>
          <w:i/>
          <w:spacing w:val="-3"/>
        </w:rPr>
        <w:lastRenderedPageBreak/>
        <w:t>Uncorroborated hearsay evidence must normally be given less weight than that of the sworn testimony of eyewitnesses to an event.  Only if first-hand testimony is clearly not credible, should hearsay statement</w:t>
      </w:r>
      <w:r>
        <w:rPr>
          <w:rFonts w:ascii="Bookman Old Style" w:hAnsi="Bookman Old Style"/>
          <w:i/>
          <w:spacing w:val="-3"/>
        </w:rPr>
        <w:t>s be considered more reliable.</w:t>
      </w:r>
    </w:p>
    <w:p w14:paraId="52B4C519" w14:textId="77777777" w:rsidR="00FA4500" w:rsidRDefault="00FA4500" w:rsidP="00FA4500">
      <w:pPr>
        <w:tabs>
          <w:tab w:val="left" w:pos="-1440"/>
          <w:tab w:val="left" w:pos="-720"/>
        </w:tabs>
        <w:suppressAutoHyphens/>
        <w:ind w:left="720"/>
        <w:rPr>
          <w:rFonts w:ascii="Bookman Old Style" w:hAnsi="Bookman Old Style"/>
          <w:i/>
          <w:spacing w:val="-3"/>
        </w:rPr>
      </w:pPr>
    </w:p>
    <w:p w14:paraId="7BFA38E7" w14:textId="77777777" w:rsidR="00FA4500" w:rsidRDefault="00FA4500" w:rsidP="00FA4500">
      <w:pPr>
        <w:tabs>
          <w:tab w:val="left" w:pos="-1440"/>
          <w:tab w:val="left" w:pos="-720"/>
        </w:tabs>
        <w:suppressAutoHyphens/>
        <w:rPr>
          <w:rFonts w:ascii="Bookman Old Style" w:hAnsi="Bookman Old Style"/>
        </w:rPr>
      </w:pPr>
      <w:r>
        <w:rPr>
          <w:rFonts w:ascii="Bookman Old Style" w:hAnsi="Bookman Old Style"/>
          <w:szCs w:val="24"/>
        </w:rPr>
        <w:t xml:space="preserve">In </w:t>
      </w:r>
      <w:r w:rsidRPr="00561429">
        <w:rPr>
          <w:rFonts w:ascii="Bookman Old Style" w:hAnsi="Bookman Old Style"/>
          <w:u w:val="single"/>
        </w:rPr>
        <w:t>Douglas</w:t>
      </w:r>
      <w:r>
        <w:rPr>
          <w:rFonts w:ascii="Bookman Old Style" w:hAnsi="Bookman Old Style"/>
        </w:rPr>
        <w:t>, Co</w:t>
      </w:r>
      <w:r w:rsidRPr="00561429">
        <w:rPr>
          <w:rFonts w:ascii="Bookman Old Style" w:hAnsi="Bookman Old Style"/>
        </w:rPr>
        <w:t>m. Dec. 85H-UI-069, April 26, 198</w:t>
      </w:r>
      <w:r>
        <w:rPr>
          <w:rFonts w:ascii="Bookman Old Style" w:hAnsi="Bookman Old Style"/>
        </w:rPr>
        <w:t>5, paraphrasing AS 44.62.460(d), the commissioner held in part:</w:t>
      </w:r>
    </w:p>
    <w:p w14:paraId="4965FA8A" w14:textId="77777777" w:rsidR="00FA4500" w:rsidRPr="00561429" w:rsidRDefault="00FA4500" w:rsidP="00FA4500">
      <w:pPr>
        <w:tabs>
          <w:tab w:val="left" w:pos="-1440"/>
          <w:tab w:val="left" w:pos="-720"/>
        </w:tabs>
        <w:suppressAutoHyphens/>
        <w:rPr>
          <w:rFonts w:ascii="Bookman Old Style" w:hAnsi="Bookman Old Style"/>
        </w:rPr>
      </w:pPr>
    </w:p>
    <w:p w14:paraId="68496D73" w14:textId="77777777" w:rsidR="00FA4500" w:rsidRPr="00F73426" w:rsidRDefault="00FA4500" w:rsidP="00FA4500">
      <w:pPr>
        <w:tabs>
          <w:tab w:val="left" w:pos="-1440"/>
          <w:tab w:val="left" w:pos="-720"/>
        </w:tabs>
        <w:suppressAutoHyphens/>
        <w:ind w:left="720"/>
        <w:rPr>
          <w:rFonts w:ascii="Bookman Old Style" w:hAnsi="Bookman Old Style"/>
          <w:i/>
        </w:rPr>
      </w:pPr>
      <w:r>
        <w:rPr>
          <w:rFonts w:ascii="Bookman Old Style" w:hAnsi="Bookman Old Style"/>
          <w:i/>
        </w:rPr>
        <w:t>“</w:t>
      </w:r>
      <w:r w:rsidRPr="00F73426">
        <w:rPr>
          <w:rFonts w:ascii="Bookman Old Style" w:hAnsi="Bookman Old Style"/>
          <w:i/>
        </w:rPr>
        <w:t>Hearsay evidence may be used to supplement or explain direct evidence but is, by itself, insufficient to support a finding unless that evidence would be admissible ov</w:t>
      </w:r>
      <w:r>
        <w:rPr>
          <w:rFonts w:ascii="Bookman Old Style" w:hAnsi="Bookman Old Style"/>
          <w:i/>
        </w:rPr>
        <w:t>er objection in a civil action”.</w:t>
      </w:r>
      <w:r w:rsidRPr="00F73426">
        <w:rPr>
          <w:rFonts w:ascii="Bookman Old Style" w:hAnsi="Bookman Old Style"/>
          <w:i/>
        </w:rPr>
        <w:t xml:space="preserve">  </w:t>
      </w:r>
    </w:p>
    <w:p w14:paraId="63F8D581" w14:textId="77777777" w:rsidR="00FA4500" w:rsidRDefault="00FA4500" w:rsidP="00FA4500">
      <w:pPr>
        <w:widowControl/>
        <w:tabs>
          <w:tab w:val="left" w:pos="-1440"/>
          <w:tab w:val="left" w:pos="-720"/>
        </w:tabs>
        <w:suppressAutoHyphens/>
        <w:rPr>
          <w:rFonts w:ascii="Bookman Old Style" w:hAnsi="Bookman Old Style"/>
          <w:szCs w:val="24"/>
        </w:rPr>
      </w:pPr>
    </w:p>
    <w:p w14:paraId="5C2391F3" w14:textId="1AA3CC42" w:rsidR="00FA4500" w:rsidRDefault="00FA4500" w:rsidP="00FA4500">
      <w:pPr>
        <w:widowControl/>
        <w:tabs>
          <w:tab w:val="left" w:pos="-1440"/>
          <w:tab w:val="left" w:pos="-720"/>
        </w:tabs>
        <w:suppressAutoHyphens/>
        <w:rPr>
          <w:rFonts w:ascii="Bookman Old Style" w:hAnsi="Bookman Old Style"/>
          <w:szCs w:val="24"/>
        </w:rPr>
      </w:pPr>
      <w:r>
        <w:rPr>
          <w:rFonts w:ascii="Bookman Old Style" w:hAnsi="Bookman Old Style"/>
          <w:szCs w:val="24"/>
        </w:rPr>
        <w:t xml:space="preserve">The employer did not appear at the hearing to provide sworn testimony, standing on the hearsay documents in the record. The claimant provided credible sworn testimony that he was not warned for drinking </w:t>
      </w:r>
      <w:r w:rsidR="0000115E">
        <w:rPr>
          <w:rFonts w:ascii="Bookman Old Style" w:hAnsi="Bookman Old Style"/>
          <w:szCs w:val="24"/>
        </w:rPr>
        <w:t xml:space="preserve">alcohol </w:t>
      </w:r>
      <w:r>
        <w:rPr>
          <w:rFonts w:ascii="Bookman Old Style" w:hAnsi="Bookman Old Style"/>
          <w:szCs w:val="24"/>
        </w:rPr>
        <w:t>at work and did not drink alcohol during work hours on his last day. The employer’s hearsay evidence did not establish that the claimant’s actions rose to the level of misconduct as described in Regulation 8 AAC 85.095(d), above.</w:t>
      </w:r>
    </w:p>
    <w:p w14:paraId="5BA2FA2E" w14:textId="77777777" w:rsidR="00FA4500" w:rsidRDefault="00FA4500" w:rsidP="00FA4500">
      <w:pPr>
        <w:widowControl/>
        <w:tabs>
          <w:tab w:val="left" w:pos="-1440"/>
          <w:tab w:val="left" w:pos="-720"/>
        </w:tabs>
        <w:suppressAutoHyphens/>
        <w:rPr>
          <w:rFonts w:ascii="Bookman Old Style" w:hAnsi="Bookman Old Style"/>
          <w:szCs w:val="24"/>
        </w:rPr>
      </w:pPr>
    </w:p>
    <w:p w14:paraId="1664ADED" w14:textId="77777777" w:rsidR="00FA4500" w:rsidRDefault="00FA4500" w:rsidP="00FA4500">
      <w:pPr>
        <w:widowControl/>
        <w:tabs>
          <w:tab w:val="left" w:pos="-1440"/>
          <w:tab w:val="left" w:pos="-720"/>
        </w:tabs>
        <w:suppressAutoHyphens/>
        <w:rPr>
          <w:rFonts w:ascii="Bookman Old Style" w:hAnsi="Bookman Old Style"/>
          <w:szCs w:val="24"/>
        </w:rPr>
      </w:pPr>
      <w:r>
        <w:rPr>
          <w:rFonts w:ascii="Bookman Old Style" w:hAnsi="Bookman Old Style"/>
          <w:szCs w:val="24"/>
        </w:rPr>
        <w:t>The Tribunal does not question an employer’s right to discharge a claimant that does not meet its standards, but such a discharge is not always for misconduct.  The Tribunal finds the claimant in this case was discharged for reasons other than misconduct and thus the penalties of AS 23.20.379 are not appropriate.</w:t>
      </w:r>
    </w:p>
    <w:p w14:paraId="28378C4E"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60E5E74"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204A8B58" w14:textId="77777777" w:rsidR="0016206D" w:rsidRPr="00FB77CC" w:rsidRDefault="0016206D" w:rsidP="00FB77CC">
      <w:pPr>
        <w:tabs>
          <w:tab w:val="left" w:pos="-1440"/>
          <w:tab w:val="left" w:pos="-720"/>
        </w:tabs>
        <w:suppressAutoHyphens/>
        <w:rPr>
          <w:rFonts w:ascii="Bookman Old Style" w:hAnsi="Bookman Old Style"/>
          <w:szCs w:val="24"/>
        </w:rPr>
      </w:pPr>
    </w:p>
    <w:p w14:paraId="66D0648A" w14:textId="5D1CEF49"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00115E">
        <w:rPr>
          <w:rFonts w:ascii="Bookman Old Style" w:hAnsi="Bookman Old Style"/>
          <w:szCs w:val="24"/>
        </w:rPr>
        <w:t xml:space="preserve">March 5, </w:t>
      </w:r>
      <w:proofErr w:type="gramStart"/>
      <w:r w:rsidR="0000115E">
        <w:rPr>
          <w:rFonts w:ascii="Bookman Old Style" w:hAnsi="Bookman Old Style"/>
          <w:szCs w:val="24"/>
        </w:rPr>
        <w:t>2021</w:t>
      </w:r>
      <w:proofErr w:type="gramEnd"/>
      <w:r w:rsidRPr="00E1431E">
        <w:rPr>
          <w:rFonts w:ascii="Bookman Old Style" w:hAnsi="Bookman Old Style"/>
        </w:rPr>
        <w:t xml:space="preserve"> is </w:t>
      </w:r>
      <w:r w:rsidR="0000115E">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00115E">
        <w:rPr>
          <w:rFonts w:ascii="Bookman Old Style" w:hAnsi="Bookman Old Style"/>
          <w:szCs w:val="24"/>
        </w:rPr>
        <w:t xml:space="preserve">October 24, </w:t>
      </w:r>
      <w:proofErr w:type="gramStart"/>
      <w:r w:rsidR="0000115E">
        <w:rPr>
          <w:rFonts w:ascii="Bookman Old Style" w:hAnsi="Bookman Old Style"/>
          <w:szCs w:val="24"/>
        </w:rPr>
        <w:t>2020</w:t>
      </w:r>
      <w:proofErr w:type="gramEnd"/>
      <w:r w:rsidR="0000115E">
        <w:rPr>
          <w:rFonts w:ascii="Bookman Old Style" w:hAnsi="Bookman Old Style"/>
          <w:szCs w:val="24"/>
        </w:rPr>
        <w:t xml:space="preserve"> through November 28,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63ADFD77" w14:textId="77777777" w:rsidR="00FB77CC" w:rsidRDefault="00FB77CC" w:rsidP="00FB77CC">
      <w:pPr>
        <w:tabs>
          <w:tab w:val="left" w:pos="-1440"/>
          <w:tab w:val="left" w:pos="-720"/>
        </w:tabs>
        <w:suppressAutoHyphens/>
        <w:ind w:right="-360"/>
        <w:rPr>
          <w:rFonts w:ascii="Bookman Old Style" w:hAnsi="Bookman Old Style"/>
        </w:rPr>
      </w:pPr>
    </w:p>
    <w:p w14:paraId="5B3E21FF"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79AB2992"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666C27F"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F4050BD" w14:textId="77777777" w:rsidR="0016206D" w:rsidRPr="00FB77CC" w:rsidRDefault="0016206D" w:rsidP="00FB77CC">
      <w:pPr>
        <w:tabs>
          <w:tab w:val="left" w:pos="-1440"/>
          <w:tab w:val="left" w:pos="-720"/>
        </w:tabs>
        <w:suppressAutoHyphens/>
        <w:rPr>
          <w:rFonts w:ascii="Bookman Old Style" w:hAnsi="Bookman Old Style"/>
          <w:szCs w:val="24"/>
        </w:rPr>
      </w:pPr>
    </w:p>
    <w:p w14:paraId="01662AE5" w14:textId="232AA450"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00115E">
        <w:rPr>
          <w:rFonts w:ascii="Bookman Old Style" w:hAnsi="Bookman Old Style"/>
          <w:szCs w:val="24"/>
        </w:rPr>
        <w:t>September 27, 2021</w:t>
      </w:r>
      <w:r w:rsidR="0016206D" w:rsidRPr="00FB77CC">
        <w:rPr>
          <w:rFonts w:ascii="Bookman Old Style" w:hAnsi="Bookman Old Style"/>
          <w:szCs w:val="24"/>
        </w:rPr>
        <w:t>.</w:t>
      </w:r>
    </w:p>
    <w:p w14:paraId="6869A3E5" w14:textId="37C16674" w:rsidR="0000115E"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23354BB3" w14:textId="77777777" w:rsidR="005E68FF" w:rsidRPr="00FB77CC" w:rsidRDefault="005E68FF" w:rsidP="00FB77CC">
      <w:pPr>
        <w:tabs>
          <w:tab w:val="left" w:pos="-1440"/>
          <w:tab w:val="left" w:pos="-720"/>
        </w:tabs>
        <w:suppressAutoHyphens/>
        <w:rPr>
          <w:rFonts w:ascii="Bookman Old Style" w:hAnsi="Bookman Old Style"/>
          <w:szCs w:val="24"/>
        </w:rPr>
      </w:pPr>
    </w:p>
    <w:p w14:paraId="4EA5D5C3" w14:textId="67AC630D"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00115E">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1A5D" w14:textId="77777777" w:rsidR="00D2451B" w:rsidRDefault="00D2451B">
      <w:pPr>
        <w:widowControl/>
        <w:spacing w:line="20" w:lineRule="exact"/>
      </w:pPr>
    </w:p>
  </w:endnote>
  <w:endnote w:type="continuationSeparator" w:id="0">
    <w:p w14:paraId="70F9991D" w14:textId="77777777" w:rsidR="00D2451B" w:rsidRDefault="00D2451B">
      <w:r>
        <w:t xml:space="preserve"> </w:t>
      </w:r>
    </w:p>
  </w:endnote>
  <w:endnote w:type="continuationNotice" w:id="1">
    <w:p w14:paraId="221B8F71" w14:textId="77777777" w:rsidR="00D2451B" w:rsidRDefault="00D245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9E6F" w14:textId="77777777" w:rsidR="00D2451B" w:rsidRDefault="00D2451B">
      <w:r>
        <w:separator/>
      </w:r>
    </w:p>
  </w:footnote>
  <w:footnote w:type="continuationSeparator" w:id="0">
    <w:p w14:paraId="2F180316" w14:textId="77777777" w:rsidR="00D2451B" w:rsidRDefault="00D2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743D" w14:textId="5E070408"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FA4500">
      <w:rPr>
        <w:rFonts w:ascii="Bookman Old Style" w:hAnsi="Bookman Old Style"/>
      </w:rPr>
      <w:t>21 0723</w:t>
    </w:r>
  </w:p>
  <w:p w14:paraId="52411B54"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26C2572F"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51B"/>
    <w:rsid w:val="0000115E"/>
    <w:rsid w:val="00015E49"/>
    <w:rsid w:val="000421BE"/>
    <w:rsid w:val="00074ABC"/>
    <w:rsid w:val="000B1B0E"/>
    <w:rsid w:val="000C468C"/>
    <w:rsid w:val="0016206D"/>
    <w:rsid w:val="00184E40"/>
    <w:rsid w:val="001A7E8E"/>
    <w:rsid w:val="001E566D"/>
    <w:rsid w:val="00246F0A"/>
    <w:rsid w:val="002C0A6B"/>
    <w:rsid w:val="0030752B"/>
    <w:rsid w:val="003330EC"/>
    <w:rsid w:val="0037410D"/>
    <w:rsid w:val="003A08AE"/>
    <w:rsid w:val="003F54EA"/>
    <w:rsid w:val="00414E35"/>
    <w:rsid w:val="00454952"/>
    <w:rsid w:val="00527085"/>
    <w:rsid w:val="005840C2"/>
    <w:rsid w:val="005A25FF"/>
    <w:rsid w:val="005C7676"/>
    <w:rsid w:val="005D69D2"/>
    <w:rsid w:val="005E68FF"/>
    <w:rsid w:val="006E4A6A"/>
    <w:rsid w:val="006E67C4"/>
    <w:rsid w:val="007264A1"/>
    <w:rsid w:val="00803703"/>
    <w:rsid w:val="009312D8"/>
    <w:rsid w:val="00965B24"/>
    <w:rsid w:val="00A775FC"/>
    <w:rsid w:val="00A94C46"/>
    <w:rsid w:val="00AC29BB"/>
    <w:rsid w:val="00AC4900"/>
    <w:rsid w:val="00B859EC"/>
    <w:rsid w:val="00BE5A90"/>
    <w:rsid w:val="00C12590"/>
    <w:rsid w:val="00C841ED"/>
    <w:rsid w:val="00CB34CC"/>
    <w:rsid w:val="00D1304C"/>
    <w:rsid w:val="00D2451B"/>
    <w:rsid w:val="00DE12B1"/>
    <w:rsid w:val="00DF3786"/>
    <w:rsid w:val="00E1431E"/>
    <w:rsid w:val="00E1587B"/>
    <w:rsid w:val="00E20135"/>
    <w:rsid w:val="00E460EE"/>
    <w:rsid w:val="00FA4500"/>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9132C55"/>
  <w15:chartTrackingRefBased/>
  <w15:docId w15:val="{E99F7ED2-9F8D-46A0-8503-F8D2BC67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3</Pages>
  <Words>876</Words>
  <Characters>4578</Characters>
  <Application>Microsoft Office Word</Application>
  <DocSecurity>0</DocSecurity>
  <Lines>138</Lines>
  <Paragraphs>45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2021-09-27T20:07:00Z</dcterms:created>
  <dcterms:modified xsi:type="dcterms:W3CDTF">2021-09-27T20:07:00Z</dcterms:modified>
</cp:coreProperties>
</file>