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91C" w14:textId="77777777" w:rsidR="008A7C97" w:rsidRDefault="00984705" w:rsidP="008A7C97">
      <w:pPr>
        <w:widowControl/>
        <w:tabs>
          <w:tab w:val="center" w:pos="4680"/>
        </w:tabs>
        <w:suppressAutoHyphens/>
        <w:jc w:val="center"/>
        <w:rPr>
          <w:rFonts w:ascii="Bookman Old Style" w:hAnsi="Bookman Old Style"/>
          <w:b/>
        </w:rPr>
      </w:pPr>
      <w:r>
        <w:rPr>
          <w:rFonts w:ascii="Bookman Old Style" w:hAnsi="Bookman Old Style"/>
          <w:b/>
          <w:noProof/>
          <w:snapToGrid/>
        </w:rPr>
        <w:pict w14:anchorId="2D779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0.6pt;margin-top:-22.55pt;width:586.9pt;height:137.8pt;z-index:-251658752">
            <v:imagedata r:id="rId7" o:title="Appeals_Letterhead_Banner"/>
          </v:shape>
        </w:pict>
      </w:r>
    </w:p>
    <w:p w14:paraId="45DC7881" w14:textId="77777777" w:rsidR="008A7C97" w:rsidRDefault="008A7C97" w:rsidP="008A7C97">
      <w:pPr>
        <w:pStyle w:val="Heading3"/>
        <w:widowControl/>
        <w:tabs>
          <w:tab w:val="center" w:pos="4680"/>
        </w:tabs>
        <w:suppressAutoHyphens/>
        <w:rPr>
          <w:rFonts w:ascii="Bookman Old Style" w:hAnsi="Bookman Old Style"/>
        </w:rPr>
      </w:pPr>
    </w:p>
    <w:p w14:paraId="3607C4D4" w14:textId="77777777" w:rsidR="008A7C97" w:rsidRDefault="008A7C97" w:rsidP="008A7C97">
      <w:pPr>
        <w:pStyle w:val="Heading3"/>
        <w:widowControl/>
        <w:tabs>
          <w:tab w:val="center" w:pos="4680"/>
        </w:tabs>
        <w:suppressAutoHyphens/>
        <w:rPr>
          <w:rFonts w:ascii="Bookman Old Style" w:hAnsi="Bookman Old Style"/>
        </w:rPr>
      </w:pPr>
    </w:p>
    <w:p w14:paraId="6316DC4B" w14:textId="77777777" w:rsidR="008A7C97" w:rsidRDefault="008A7C97" w:rsidP="008A7C97">
      <w:pPr>
        <w:pStyle w:val="Heading3"/>
        <w:widowControl/>
        <w:tabs>
          <w:tab w:val="center" w:pos="4680"/>
        </w:tabs>
        <w:suppressAutoHyphens/>
        <w:rPr>
          <w:rFonts w:ascii="Bookman Old Style" w:hAnsi="Bookman Old Style"/>
        </w:rPr>
      </w:pPr>
    </w:p>
    <w:p w14:paraId="7F0E1CEF" w14:textId="77777777" w:rsidR="008A7C97" w:rsidRDefault="008A7C97" w:rsidP="008A7C97">
      <w:pPr>
        <w:pStyle w:val="Heading3"/>
        <w:widowControl/>
        <w:tabs>
          <w:tab w:val="center" w:pos="4680"/>
        </w:tabs>
        <w:suppressAutoHyphens/>
        <w:rPr>
          <w:rFonts w:ascii="Bookman Old Style" w:hAnsi="Bookman Old Style"/>
        </w:rPr>
      </w:pPr>
    </w:p>
    <w:p w14:paraId="5B78E80C" w14:textId="77777777" w:rsidR="008A7C97" w:rsidRDefault="008A7C97" w:rsidP="008A7C97">
      <w:pPr>
        <w:pStyle w:val="Heading3"/>
        <w:widowControl/>
        <w:tabs>
          <w:tab w:val="center" w:pos="4680"/>
        </w:tabs>
        <w:suppressAutoHyphens/>
        <w:rPr>
          <w:rFonts w:ascii="Bookman Old Style" w:hAnsi="Bookman Old Style"/>
        </w:rPr>
      </w:pPr>
    </w:p>
    <w:p w14:paraId="48D970DB" w14:textId="77777777" w:rsidR="008A7C97" w:rsidRDefault="008A7C97" w:rsidP="008A7C97">
      <w:pPr>
        <w:widowControl/>
        <w:tabs>
          <w:tab w:val="left" w:pos="-720"/>
        </w:tabs>
        <w:suppressAutoHyphens/>
        <w:rPr>
          <w:rFonts w:ascii="Bookman Old Style" w:hAnsi="Bookman Old Style"/>
        </w:rPr>
      </w:pPr>
    </w:p>
    <w:p w14:paraId="58CB55DA" w14:textId="0E863E98" w:rsidR="005A281D"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14:paraId="4F1C0364" w14:textId="7D1825CB" w:rsidR="00AE06A8" w:rsidRPr="00AE06A8" w:rsidRDefault="00AE06A8" w:rsidP="00AE06A8">
      <w:pPr>
        <w:jc w:val="center"/>
        <w:rPr>
          <w:rFonts w:ascii="Bookman Old Style" w:hAnsi="Bookman Old Style"/>
          <w:b/>
          <w:bCs/>
        </w:rPr>
      </w:pPr>
      <w:r>
        <w:rPr>
          <w:rFonts w:ascii="Bookman Old Style" w:hAnsi="Bookman Old Style"/>
          <w:b/>
          <w:bCs/>
        </w:rPr>
        <w:t>**</w:t>
      </w:r>
      <w:r w:rsidRPr="00AE06A8">
        <w:rPr>
          <w:rFonts w:ascii="Bookman Old Style" w:hAnsi="Bookman Old Style"/>
          <w:b/>
          <w:bCs/>
        </w:rPr>
        <w:t>CORRECTED</w:t>
      </w:r>
      <w:r>
        <w:rPr>
          <w:rFonts w:ascii="Bookman Old Style" w:hAnsi="Bookman Old Style"/>
          <w:b/>
          <w:bCs/>
        </w:rPr>
        <w:t>**</w:t>
      </w:r>
    </w:p>
    <w:p w14:paraId="0BA9734D" w14:textId="77777777" w:rsidR="005A281D" w:rsidRPr="004E4DD2" w:rsidRDefault="005A281D" w:rsidP="004E4DD2">
      <w:pPr>
        <w:widowControl/>
        <w:tabs>
          <w:tab w:val="left" w:pos="-720"/>
        </w:tabs>
        <w:suppressAutoHyphens/>
        <w:rPr>
          <w:rFonts w:ascii="Bookman Old Style" w:hAnsi="Bookman Old Style"/>
          <w:szCs w:val="24"/>
        </w:rPr>
      </w:pPr>
    </w:p>
    <w:p w14:paraId="7EB9020C" w14:textId="103F5A0A" w:rsidR="005A281D"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EE0663">
        <w:rPr>
          <w:rFonts w:ascii="Bookman Old Style" w:hAnsi="Bookman Old Style"/>
          <w:szCs w:val="24"/>
        </w:rPr>
        <w:t xml:space="preserve">21 </w:t>
      </w:r>
      <w:proofErr w:type="gramStart"/>
      <w:r w:rsidR="00EE0663">
        <w:rPr>
          <w:rFonts w:ascii="Bookman Old Style" w:hAnsi="Bookman Old Style"/>
          <w:szCs w:val="24"/>
        </w:rPr>
        <w:t>0896</w:t>
      </w:r>
      <w:r w:rsidRPr="004E4DD2">
        <w:rPr>
          <w:rFonts w:ascii="Bookman Old Style" w:hAnsi="Bookman Old Style"/>
          <w:szCs w:val="24"/>
        </w:rPr>
        <w:t xml:space="preserve">  </w:t>
      </w:r>
      <w:r w:rsidRPr="004E4DD2">
        <w:rPr>
          <w:rFonts w:ascii="Bookman Old Style" w:hAnsi="Bookman Old Style"/>
          <w:b/>
          <w:szCs w:val="24"/>
        </w:rPr>
        <w:t>Hearing</w:t>
      </w:r>
      <w:proofErr w:type="gramEnd"/>
      <w:r w:rsidRPr="004E4DD2">
        <w:rPr>
          <w:rFonts w:ascii="Bookman Old Style" w:hAnsi="Bookman Old Style"/>
          <w:b/>
          <w:szCs w:val="24"/>
        </w:rPr>
        <w:t xml:space="preserve">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EE0663">
        <w:rPr>
          <w:rFonts w:ascii="Bookman Old Style" w:hAnsi="Bookman Old Style"/>
          <w:szCs w:val="24"/>
        </w:rPr>
        <w:t>November 8, 2021</w:t>
      </w:r>
    </w:p>
    <w:p w14:paraId="696DDA51" w14:textId="3276252B" w:rsidR="00EE0663" w:rsidRPr="004E4DD2" w:rsidRDefault="00EE0663" w:rsidP="00EE0663">
      <w:pPr>
        <w:widowControl/>
        <w:tabs>
          <w:tab w:val="center" w:pos="468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November 30, 2021</w:t>
      </w:r>
    </w:p>
    <w:p w14:paraId="1A908597"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3561B5D1" w14:textId="77777777"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14:paraId="0088E31A"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5FC4BE8B" w14:textId="5958CD8C" w:rsidR="00EE0663" w:rsidRPr="00EE0663" w:rsidRDefault="00EE0663" w:rsidP="00EE0663">
      <w:pPr>
        <w:widowControl/>
        <w:tabs>
          <w:tab w:val="left" w:pos="-1440"/>
          <w:tab w:val="left" w:pos="-720"/>
          <w:tab w:val="left" w:pos="0"/>
          <w:tab w:val="left" w:pos="5760"/>
        </w:tabs>
        <w:suppressAutoHyphens/>
        <w:ind w:right="-360"/>
        <w:rPr>
          <w:rFonts w:ascii="Bookman Old Style" w:hAnsi="Bookman Old Style"/>
          <w:szCs w:val="24"/>
        </w:rPr>
      </w:pPr>
      <w:r w:rsidRPr="00EE0663">
        <w:rPr>
          <w:rFonts w:ascii="Bookman Old Style" w:hAnsi="Bookman Old Style"/>
          <w:szCs w:val="24"/>
        </w:rPr>
        <w:t>YELENA SKOBELEVA</w:t>
      </w:r>
    </w:p>
    <w:p w14:paraId="7DEA9CC5" w14:textId="3B183799"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2B19ABB8" w14:textId="12DD8218" w:rsidR="00984705" w:rsidRDefault="00984705" w:rsidP="004E4DD2">
      <w:pPr>
        <w:widowControl/>
        <w:tabs>
          <w:tab w:val="left" w:pos="-1440"/>
          <w:tab w:val="left" w:pos="-720"/>
          <w:tab w:val="left" w:pos="0"/>
          <w:tab w:val="left" w:pos="5760"/>
        </w:tabs>
        <w:suppressAutoHyphens/>
        <w:ind w:right="-360"/>
        <w:rPr>
          <w:rFonts w:ascii="Bookman Old Style" w:hAnsi="Bookman Old Style"/>
          <w:szCs w:val="24"/>
        </w:rPr>
      </w:pPr>
    </w:p>
    <w:p w14:paraId="56D49ACC" w14:textId="77777777" w:rsidR="00984705" w:rsidRPr="004E4DD2" w:rsidRDefault="00984705" w:rsidP="004E4DD2">
      <w:pPr>
        <w:widowControl/>
        <w:tabs>
          <w:tab w:val="left" w:pos="-1440"/>
          <w:tab w:val="left" w:pos="-720"/>
          <w:tab w:val="left" w:pos="0"/>
          <w:tab w:val="left" w:pos="5760"/>
        </w:tabs>
        <w:suppressAutoHyphens/>
        <w:ind w:right="-360"/>
        <w:rPr>
          <w:rFonts w:ascii="Bookman Old Style" w:hAnsi="Bookman Old Style"/>
          <w:szCs w:val="24"/>
        </w:rPr>
      </w:pPr>
    </w:p>
    <w:p w14:paraId="2C8D2C4D"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14:paraId="3EE94DD4"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75B9F46" w14:textId="2454F1C8" w:rsidR="005A281D" w:rsidRPr="004E4DD2" w:rsidRDefault="00EE0663"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Yelena </w:t>
      </w:r>
      <w:proofErr w:type="spellStart"/>
      <w:r>
        <w:rPr>
          <w:rFonts w:ascii="Bookman Old Style" w:hAnsi="Bookman Old Style"/>
          <w:szCs w:val="24"/>
        </w:rPr>
        <w:t>Skobeleva</w:t>
      </w:r>
      <w:proofErr w:type="spellEnd"/>
      <w:r w:rsidR="005A281D" w:rsidRPr="004E4DD2">
        <w:rPr>
          <w:rFonts w:ascii="Bookman Old Style" w:hAnsi="Bookman Old Style"/>
          <w:szCs w:val="24"/>
        </w:rPr>
        <w:tab/>
        <w:t>None</w:t>
      </w:r>
    </w:p>
    <w:p w14:paraId="0D47AF0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2123E7E"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14:paraId="60F41BEC" w14:textId="77777777" w:rsidR="005A281D" w:rsidRPr="004E4DD2" w:rsidRDefault="005A281D" w:rsidP="004E4DD2">
      <w:pPr>
        <w:tabs>
          <w:tab w:val="left" w:pos="-1440"/>
          <w:tab w:val="left" w:pos="-720"/>
        </w:tabs>
        <w:rPr>
          <w:rFonts w:ascii="Bookman Old Style" w:hAnsi="Bookman Old Style"/>
          <w:szCs w:val="24"/>
        </w:rPr>
      </w:pPr>
    </w:p>
    <w:p w14:paraId="0FE016C3" w14:textId="7206EE75"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a </w:t>
      </w:r>
      <w:r w:rsidR="00EE0663">
        <w:rPr>
          <w:rFonts w:ascii="Bookman Old Style" w:hAnsi="Bookman Old Style"/>
          <w:szCs w:val="24"/>
        </w:rPr>
        <w:t xml:space="preserve">May 10, </w:t>
      </w:r>
      <w:proofErr w:type="gramStart"/>
      <w:r w:rsidR="00EE0663">
        <w:rPr>
          <w:rFonts w:ascii="Bookman Old Style" w:hAnsi="Bookman Old Style"/>
          <w:szCs w:val="24"/>
        </w:rPr>
        <w:t>2021</w:t>
      </w:r>
      <w:proofErr w:type="gramEnd"/>
      <w:r w:rsidRPr="004E4DD2">
        <w:rPr>
          <w:rFonts w:ascii="Bookman Old Style" w:hAnsi="Bookman Old Style"/>
          <w:szCs w:val="24"/>
        </w:rPr>
        <w:t xml:space="preserve"> determination which denied benefits under Alaska Statute 23.20.379. The issue before the Appeal Tribunal is whether the claimant refused suitable work.</w:t>
      </w:r>
    </w:p>
    <w:p w14:paraId="22D5EB24" w14:textId="77777777" w:rsidR="00A6022C" w:rsidRPr="004E4DD2" w:rsidRDefault="00A6022C" w:rsidP="004E4DD2">
      <w:pPr>
        <w:tabs>
          <w:tab w:val="left" w:pos="-1440"/>
          <w:tab w:val="left" w:pos="-720"/>
        </w:tabs>
        <w:rPr>
          <w:rFonts w:ascii="Bookman Old Style" w:hAnsi="Bookman Old Style"/>
          <w:szCs w:val="24"/>
        </w:rPr>
      </w:pPr>
    </w:p>
    <w:p w14:paraId="03AA95AE"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14:paraId="423CE045" w14:textId="77777777" w:rsidR="005A281D" w:rsidRPr="004E4DD2" w:rsidRDefault="005A281D" w:rsidP="004E4DD2">
      <w:pPr>
        <w:tabs>
          <w:tab w:val="left" w:pos="-1440"/>
          <w:tab w:val="left" w:pos="-720"/>
        </w:tabs>
        <w:rPr>
          <w:rFonts w:ascii="Bookman Old Style" w:hAnsi="Bookman Old Style"/>
          <w:szCs w:val="24"/>
        </w:rPr>
      </w:pPr>
    </w:p>
    <w:p w14:paraId="3474896A" w14:textId="58BAB16C"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EE0663">
        <w:rPr>
          <w:rFonts w:ascii="Bookman Old Style" w:hAnsi="Bookman Old Style"/>
          <w:szCs w:val="24"/>
        </w:rPr>
        <w:t>February 21, 2021</w:t>
      </w:r>
      <w:r w:rsidRPr="004E4DD2">
        <w:rPr>
          <w:rFonts w:ascii="Bookman Old Style" w:hAnsi="Bookman Old Style"/>
          <w:szCs w:val="24"/>
        </w:rPr>
        <w:t xml:space="preserve">. </w:t>
      </w:r>
    </w:p>
    <w:p w14:paraId="0D356403" w14:textId="544A9085" w:rsidR="00EE0663" w:rsidRDefault="00EE0663" w:rsidP="004E4DD2">
      <w:pPr>
        <w:tabs>
          <w:tab w:val="left" w:pos="-1440"/>
          <w:tab w:val="left" w:pos="-720"/>
        </w:tabs>
        <w:rPr>
          <w:rFonts w:ascii="Bookman Old Style" w:hAnsi="Bookman Old Style"/>
          <w:szCs w:val="24"/>
        </w:rPr>
      </w:pPr>
    </w:p>
    <w:p w14:paraId="4B971874" w14:textId="25624712" w:rsidR="00EE0663" w:rsidRDefault="003A418B" w:rsidP="004E4DD2">
      <w:pPr>
        <w:tabs>
          <w:tab w:val="left" w:pos="-1440"/>
          <w:tab w:val="left" w:pos="-720"/>
        </w:tabs>
        <w:rPr>
          <w:rFonts w:ascii="Bookman Old Style" w:hAnsi="Bookman Old Style"/>
          <w:szCs w:val="24"/>
        </w:rPr>
      </w:pPr>
      <w:r>
        <w:rPr>
          <w:rFonts w:ascii="Bookman Old Style" w:hAnsi="Bookman Old Style"/>
          <w:szCs w:val="24"/>
        </w:rPr>
        <w:t>On April 5, 2021, t</w:t>
      </w:r>
      <w:r w:rsidR="00EE0663">
        <w:rPr>
          <w:rFonts w:ascii="Bookman Old Style" w:hAnsi="Bookman Old Style"/>
          <w:szCs w:val="24"/>
        </w:rPr>
        <w:t xml:space="preserve">he claimant was called and </w:t>
      </w:r>
      <w:r>
        <w:rPr>
          <w:rFonts w:ascii="Bookman Old Style" w:hAnsi="Bookman Old Style"/>
          <w:szCs w:val="24"/>
        </w:rPr>
        <w:t xml:space="preserve">was </w:t>
      </w:r>
      <w:r w:rsidR="00EE0663">
        <w:rPr>
          <w:rFonts w:ascii="Bookman Old Style" w:hAnsi="Bookman Old Style"/>
          <w:szCs w:val="24"/>
        </w:rPr>
        <w:t xml:space="preserve">offered a job she </w:t>
      </w:r>
      <w:r w:rsidR="00AF4A70">
        <w:rPr>
          <w:rFonts w:ascii="Bookman Old Style" w:hAnsi="Bookman Old Style"/>
          <w:szCs w:val="24"/>
        </w:rPr>
        <w:t>had not applied</w:t>
      </w:r>
      <w:r w:rsidR="00EE0663">
        <w:rPr>
          <w:rFonts w:ascii="Bookman Old Style" w:hAnsi="Bookman Old Style"/>
          <w:szCs w:val="24"/>
        </w:rPr>
        <w:t xml:space="preserve"> for.  Documents in the record indicate the employer got the claimant’s name and contact information from the claimant’s posted resume on the Division’s work registration website. </w:t>
      </w:r>
      <w:r w:rsidR="00422B5F">
        <w:rPr>
          <w:rFonts w:ascii="Bookman Old Style" w:hAnsi="Bookman Old Style"/>
          <w:szCs w:val="24"/>
        </w:rPr>
        <w:t xml:space="preserve">The job was a janitorial position paying $12 per hour for 30 hours per week. </w:t>
      </w:r>
      <w:r w:rsidR="00EE0663">
        <w:rPr>
          <w:rFonts w:ascii="Bookman Old Style" w:hAnsi="Bookman Old Style"/>
          <w:szCs w:val="24"/>
        </w:rPr>
        <w:t>The claimant was requested to bring her paperwork and meet the employer in a parking lot at a pharmacy</w:t>
      </w:r>
      <w:r>
        <w:rPr>
          <w:rFonts w:ascii="Bookman Old Style" w:hAnsi="Bookman Old Style"/>
          <w:szCs w:val="24"/>
        </w:rPr>
        <w:t xml:space="preserve"> </w:t>
      </w:r>
      <w:r w:rsidR="00AF4A70">
        <w:rPr>
          <w:rFonts w:ascii="Bookman Old Style" w:hAnsi="Bookman Old Style"/>
          <w:szCs w:val="24"/>
        </w:rPr>
        <w:t xml:space="preserve">which was to be one of the worksites </w:t>
      </w:r>
      <w:r>
        <w:rPr>
          <w:rFonts w:ascii="Bookman Old Style" w:hAnsi="Bookman Old Style"/>
          <w:szCs w:val="24"/>
        </w:rPr>
        <w:t>the next morning</w:t>
      </w:r>
      <w:r w:rsidR="00EE0663">
        <w:rPr>
          <w:rFonts w:ascii="Bookman Old Style" w:hAnsi="Bookman Old Style"/>
          <w:szCs w:val="24"/>
        </w:rPr>
        <w:t xml:space="preserve">.  </w:t>
      </w:r>
    </w:p>
    <w:p w14:paraId="28305E75" w14:textId="62A47516" w:rsidR="00EE0663" w:rsidRDefault="00EE0663" w:rsidP="004E4DD2">
      <w:pPr>
        <w:tabs>
          <w:tab w:val="left" w:pos="-1440"/>
          <w:tab w:val="left" w:pos="-720"/>
        </w:tabs>
        <w:rPr>
          <w:rFonts w:ascii="Bookman Old Style" w:hAnsi="Bookman Old Style"/>
          <w:szCs w:val="24"/>
        </w:rPr>
      </w:pPr>
    </w:p>
    <w:p w14:paraId="5A2CAAE0" w14:textId="0A9D077C" w:rsidR="00EE0663" w:rsidRPr="004E4DD2" w:rsidRDefault="00EE0663" w:rsidP="004E4DD2">
      <w:pPr>
        <w:tabs>
          <w:tab w:val="left" w:pos="-1440"/>
          <w:tab w:val="left" w:pos="-720"/>
        </w:tabs>
        <w:rPr>
          <w:rFonts w:ascii="Bookman Old Style" w:hAnsi="Bookman Old Style"/>
          <w:szCs w:val="24"/>
        </w:rPr>
      </w:pPr>
      <w:r>
        <w:rPr>
          <w:rFonts w:ascii="Bookman Old Style" w:hAnsi="Bookman Old Style"/>
          <w:szCs w:val="24"/>
        </w:rPr>
        <w:t>When the claimant met the employer’s representative</w:t>
      </w:r>
      <w:r w:rsidR="00422B5F">
        <w:rPr>
          <w:rFonts w:ascii="Bookman Old Style" w:hAnsi="Bookman Old Style"/>
          <w:szCs w:val="24"/>
        </w:rPr>
        <w:t xml:space="preserve"> on April 6, 2021</w:t>
      </w:r>
      <w:r>
        <w:rPr>
          <w:rFonts w:ascii="Bookman Old Style" w:hAnsi="Bookman Old Style"/>
          <w:szCs w:val="24"/>
        </w:rPr>
        <w:t xml:space="preserve">, she learned she </w:t>
      </w:r>
      <w:r w:rsidR="00422B5F">
        <w:rPr>
          <w:rFonts w:ascii="Bookman Old Style" w:hAnsi="Bookman Old Style"/>
          <w:szCs w:val="24"/>
        </w:rPr>
        <w:t xml:space="preserve">was </w:t>
      </w:r>
      <w:r>
        <w:rPr>
          <w:rFonts w:ascii="Bookman Old Style" w:hAnsi="Bookman Old Style"/>
          <w:szCs w:val="24"/>
        </w:rPr>
        <w:t xml:space="preserve">expected to travel with the </w:t>
      </w:r>
      <w:r w:rsidR="00422B5F">
        <w:rPr>
          <w:rFonts w:ascii="Bookman Old Style" w:hAnsi="Bookman Old Style"/>
          <w:szCs w:val="24"/>
        </w:rPr>
        <w:t xml:space="preserve">employer’s </w:t>
      </w:r>
      <w:r>
        <w:rPr>
          <w:rFonts w:ascii="Bookman Old Style" w:hAnsi="Bookman Old Style"/>
          <w:szCs w:val="24"/>
        </w:rPr>
        <w:t>male representative in his car to various job sites</w:t>
      </w:r>
      <w:r w:rsidR="003A418B">
        <w:rPr>
          <w:rFonts w:ascii="Bookman Old Style" w:hAnsi="Bookman Old Style"/>
          <w:szCs w:val="24"/>
        </w:rPr>
        <w:t xml:space="preserve">. The claimant was concerned because the representative did not have a business card, did not have any </w:t>
      </w:r>
      <w:r w:rsidR="000E25F9">
        <w:rPr>
          <w:rFonts w:ascii="Bookman Old Style" w:hAnsi="Bookman Old Style"/>
          <w:szCs w:val="24"/>
        </w:rPr>
        <w:t xml:space="preserve">business </w:t>
      </w:r>
      <w:r w:rsidR="003A418B">
        <w:rPr>
          <w:rFonts w:ascii="Bookman Old Style" w:hAnsi="Bookman Old Style"/>
          <w:szCs w:val="24"/>
        </w:rPr>
        <w:t>signs on his car and he refused to provide the employer’s</w:t>
      </w:r>
      <w:r w:rsidR="000E25F9">
        <w:rPr>
          <w:rFonts w:ascii="Bookman Old Style" w:hAnsi="Bookman Old Style"/>
          <w:szCs w:val="24"/>
        </w:rPr>
        <w:t xml:space="preserve"> office</w:t>
      </w:r>
      <w:r w:rsidR="003A418B">
        <w:rPr>
          <w:rFonts w:ascii="Bookman Old Style" w:hAnsi="Bookman Old Style"/>
          <w:szCs w:val="24"/>
        </w:rPr>
        <w:t xml:space="preserve"> address. The claimant and her husband, who was dropping her off, were concerned that it </w:t>
      </w:r>
      <w:r w:rsidR="003A418B">
        <w:rPr>
          <w:rFonts w:ascii="Bookman Old Style" w:hAnsi="Bookman Old Style"/>
          <w:szCs w:val="24"/>
        </w:rPr>
        <w:lastRenderedPageBreak/>
        <w:t>was not a legitimate job offer</w:t>
      </w:r>
      <w:r w:rsidR="00422B5F">
        <w:rPr>
          <w:rFonts w:ascii="Bookman Old Style" w:hAnsi="Bookman Old Style"/>
          <w:szCs w:val="24"/>
        </w:rPr>
        <w:t xml:space="preserve"> because the claimant had not applied for the job and had not filled out any paperwork</w:t>
      </w:r>
      <w:r w:rsidR="000E25F9">
        <w:rPr>
          <w:rFonts w:ascii="Bookman Old Style" w:hAnsi="Bookman Old Style"/>
          <w:szCs w:val="24"/>
        </w:rPr>
        <w:t xml:space="preserve"> before being expected to begin work</w:t>
      </w:r>
      <w:r w:rsidR="003A418B">
        <w:rPr>
          <w:rFonts w:ascii="Bookman Old Style" w:hAnsi="Bookman Old Style"/>
          <w:szCs w:val="24"/>
        </w:rPr>
        <w:t xml:space="preserve">.  The claimant’s husband told her </w:t>
      </w:r>
      <w:r w:rsidR="000E25F9">
        <w:rPr>
          <w:rFonts w:ascii="Bookman Old Style" w:hAnsi="Bookman Old Style"/>
          <w:szCs w:val="24"/>
        </w:rPr>
        <w:t xml:space="preserve">he </w:t>
      </w:r>
      <w:r w:rsidR="003A418B">
        <w:rPr>
          <w:rFonts w:ascii="Bookman Old Style" w:hAnsi="Bookman Old Style"/>
          <w:szCs w:val="24"/>
        </w:rPr>
        <w:t>was concerned for her safety if he left her with an unknown man</w:t>
      </w:r>
      <w:r w:rsidR="00422B5F">
        <w:rPr>
          <w:rFonts w:ascii="Bookman Old Style" w:hAnsi="Bookman Old Style"/>
          <w:szCs w:val="24"/>
        </w:rPr>
        <w:t xml:space="preserve"> in such circumstances</w:t>
      </w:r>
      <w:r w:rsidR="003A418B">
        <w:rPr>
          <w:rFonts w:ascii="Bookman Old Style" w:hAnsi="Bookman Old Style"/>
          <w:szCs w:val="24"/>
        </w:rPr>
        <w:t xml:space="preserve">. </w:t>
      </w:r>
      <w:r w:rsidR="00422B5F">
        <w:rPr>
          <w:rFonts w:ascii="Bookman Old Style" w:hAnsi="Bookman Old Style"/>
          <w:szCs w:val="24"/>
        </w:rPr>
        <w:t xml:space="preserve">The claimant and her family have been victims of fraudulent actions since immigrating to the United States. The claimant decided not to accept the offer of work because she believed it was not a valid offer. The employer reported the claimant’s refusal </w:t>
      </w:r>
      <w:r w:rsidR="00D0729B">
        <w:rPr>
          <w:rFonts w:ascii="Bookman Old Style" w:hAnsi="Bookman Old Style"/>
          <w:szCs w:val="24"/>
        </w:rPr>
        <w:t xml:space="preserve">of work </w:t>
      </w:r>
      <w:r w:rsidR="00422B5F">
        <w:rPr>
          <w:rFonts w:ascii="Bookman Old Style" w:hAnsi="Bookman Old Style"/>
          <w:szCs w:val="24"/>
        </w:rPr>
        <w:t xml:space="preserve">to the Division. </w:t>
      </w:r>
    </w:p>
    <w:p w14:paraId="75C872E2" w14:textId="77777777" w:rsidR="005A281D" w:rsidRPr="004E4DD2" w:rsidRDefault="005A281D" w:rsidP="004E4DD2">
      <w:pPr>
        <w:tabs>
          <w:tab w:val="left" w:pos="-1440"/>
          <w:tab w:val="left" w:pos="-720"/>
        </w:tabs>
        <w:rPr>
          <w:rFonts w:ascii="Bookman Old Style" w:hAnsi="Bookman Old Style"/>
          <w:szCs w:val="24"/>
        </w:rPr>
      </w:pPr>
    </w:p>
    <w:p w14:paraId="25EC3DF7"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PROVISIONS OF LAW</w:t>
      </w:r>
    </w:p>
    <w:p w14:paraId="7311FBED" w14:textId="77777777" w:rsidR="00495219" w:rsidRPr="004E4DD2" w:rsidRDefault="00495219" w:rsidP="004E4DD2">
      <w:pPr>
        <w:rPr>
          <w:rFonts w:ascii="Bookman Old Style" w:hAnsi="Bookman Old Style"/>
          <w:szCs w:val="24"/>
        </w:rPr>
      </w:pPr>
    </w:p>
    <w:p w14:paraId="13FAB314" w14:textId="77777777"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14:paraId="13B4C309" w14:textId="77777777" w:rsidR="004E4DD2" w:rsidRPr="004E4DD2" w:rsidRDefault="004E4DD2" w:rsidP="004E4DD2">
      <w:pPr>
        <w:tabs>
          <w:tab w:val="left" w:pos="-1440"/>
          <w:tab w:val="left" w:pos="-720"/>
          <w:tab w:val="left" w:pos="720"/>
        </w:tabs>
        <w:rPr>
          <w:rFonts w:ascii="Bookman Old Style" w:hAnsi="Bookman Old Style"/>
          <w:b/>
          <w:szCs w:val="24"/>
        </w:rPr>
      </w:pPr>
    </w:p>
    <w:p w14:paraId="70B8F37E" w14:textId="02759B75" w:rsidR="00495219" w:rsidRPr="000E25F9"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14:paraId="02622575" w14:textId="77777777"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14:paraId="0A43B693" w14:textId="77777777" w:rsidR="00495219" w:rsidRPr="004E4DD2"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accept suitable work when offered to the insured worker.</w:t>
      </w:r>
    </w:p>
    <w:p w14:paraId="62BFDA4D" w14:textId="77777777" w:rsidR="00495219" w:rsidRDefault="00495219" w:rsidP="004E4DD2">
      <w:pPr>
        <w:rPr>
          <w:rFonts w:ascii="Bookman Old Style" w:hAnsi="Bookman Old Style"/>
          <w:szCs w:val="24"/>
        </w:rPr>
      </w:pPr>
    </w:p>
    <w:p w14:paraId="7526B5F2" w14:textId="77777777" w:rsidR="00F1672D" w:rsidRDefault="00F1672D" w:rsidP="00F1672D">
      <w:pPr>
        <w:tabs>
          <w:tab w:val="left" w:pos="-1440"/>
          <w:tab w:val="left" w:pos="-720"/>
          <w:tab w:val="left" w:pos="720"/>
        </w:tabs>
        <w:rPr>
          <w:rFonts w:ascii="Bookman Old Style" w:hAnsi="Bookman Old Style"/>
          <w:b/>
          <w:szCs w:val="24"/>
        </w:rPr>
      </w:pPr>
      <w:r>
        <w:rPr>
          <w:rFonts w:ascii="Bookman Old Style" w:hAnsi="Bookman Old Style"/>
          <w:b/>
          <w:szCs w:val="24"/>
        </w:rPr>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14:paraId="691EEABD" w14:textId="77777777" w:rsidR="00F1672D" w:rsidRDefault="00F1672D" w:rsidP="00F1672D">
      <w:pPr>
        <w:rPr>
          <w:rFonts w:ascii="Bookman Old Style" w:hAnsi="Bookman Old Style"/>
          <w:szCs w:val="24"/>
        </w:rPr>
      </w:pPr>
    </w:p>
    <w:p w14:paraId="62204F2B" w14:textId="77777777" w:rsidR="00F1672D" w:rsidRPr="000B0003" w:rsidRDefault="00F1672D" w:rsidP="00D0729B">
      <w:pPr>
        <w:pStyle w:val="NormalWeb"/>
        <w:spacing w:before="0" w:beforeAutospacing="0" w:after="0" w:afterAutospacing="0"/>
        <w:rPr>
          <w:rFonts w:ascii="Bookman Old Style" w:hAnsi="Bookman Old Style"/>
        </w:rPr>
      </w:pPr>
      <w:r w:rsidRPr="000B0003">
        <w:rPr>
          <w:rFonts w:ascii="Bookman Old Style" w:hAnsi="Bookman Old Style"/>
        </w:rPr>
        <w:t xml:space="preserve">(a) Work may not be considered </w:t>
      </w:r>
      <w:proofErr w:type="gramStart"/>
      <w:r w:rsidRPr="000B0003">
        <w:rPr>
          <w:rFonts w:ascii="Bookman Old Style" w:hAnsi="Bookman Old Style"/>
        </w:rPr>
        <w:t>suitable</w:t>
      </w:r>
      <w:proofErr w:type="gramEnd"/>
      <w:r w:rsidRPr="000B0003">
        <w:rPr>
          <w:rFonts w:ascii="Bookman Old Style" w:hAnsi="Bookman Old Style"/>
        </w:rPr>
        <w:t xml:space="preserve"> and benefits may not be denied under a provision of this chapter to an otherwise eligible individual for refusing to accept new work under any of the following conditions:</w:t>
      </w:r>
    </w:p>
    <w:p w14:paraId="0C89FDCA" w14:textId="77777777" w:rsidR="00F1672D" w:rsidRPr="000B0003" w:rsidRDefault="00984705" w:rsidP="00D0729B">
      <w:pPr>
        <w:pStyle w:val="NormalWeb"/>
        <w:spacing w:before="0" w:beforeAutospacing="0" w:after="0" w:afterAutospacing="0"/>
        <w:rPr>
          <w:rFonts w:ascii="Bookman Old Style" w:hAnsi="Bookman Old Style"/>
        </w:rPr>
      </w:pPr>
      <w:r>
        <w:rPr>
          <w:rFonts w:ascii="Bookman Old Style" w:hAnsi="Bookman Old Style"/>
          <w:noProof/>
        </w:rPr>
        <w:pict w14:anchorId="5F43AB53">
          <v:shape id="Picture 7" o:spid="_x0000_i1025" type="#_x0000_t75" alt="http://www.legis.state.ak.us/sdimages/tab.gif" style="width:22.5pt;height:.75pt;visibility:visible">
            <v:imagedata r:id="rId8" o:title="tab"/>
          </v:shape>
        </w:pict>
      </w:r>
      <w:r w:rsidR="00F1672D" w:rsidRPr="000B0003">
        <w:rPr>
          <w:rFonts w:ascii="Bookman Old Style" w:hAnsi="Bookman Old Style"/>
        </w:rPr>
        <w:t xml:space="preserve">(1) if the position offered is vacant due directly to a strike, lockout, or other labor </w:t>
      </w:r>
      <w:proofErr w:type="gramStart"/>
      <w:r w:rsidR="00F1672D" w:rsidRPr="000B0003">
        <w:rPr>
          <w:rFonts w:ascii="Bookman Old Style" w:hAnsi="Bookman Old Style"/>
        </w:rPr>
        <w:t>dispute;</w:t>
      </w:r>
      <w:proofErr w:type="gramEnd"/>
    </w:p>
    <w:p w14:paraId="24D9E7B4" w14:textId="77777777" w:rsidR="00F1672D" w:rsidRPr="000B0003" w:rsidRDefault="00984705" w:rsidP="00D0729B">
      <w:pPr>
        <w:pStyle w:val="NormalWeb"/>
        <w:spacing w:before="0" w:beforeAutospacing="0" w:after="0" w:afterAutospacing="0"/>
        <w:rPr>
          <w:rFonts w:ascii="Bookman Old Style" w:hAnsi="Bookman Old Style"/>
        </w:rPr>
      </w:pPr>
      <w:r>
        <w:rPr>
          <w:rFonts w:ascii="Bookman Old Style" w:hAnsi="Bookman Old Style"/>
          <w:noProof/>
        </w:rPr>
        <w:pict w14:anchorId="4210883D">
          <v:shape id="Picture 6" o:spid="_x0000_i1026" type="#_x0000_t75" alt="http://www.legis.state.ak.us/sdimages/tab.gif" style="width:22.5pt;height:.75pt;visibility:visible">
            <v:imagedata r:id="rId8" o:title="tab"/>
          </v:shape>
        </w:pict>
      </w:r>
      <w:r w:rsidR="00F1672D" w:rsidRPr="000B0003">
        <w:rPr>
          <w:rFonts w:ascii="Bookman Old Style" w:hAnsi="Bookman Old Style"/>
        </w:rPr>
        <w:t xml:space="preserve">(2) if the wages, hours, or other conditions of the work offered are substantially less favorable to the individual than those prevailing for similar work in the </w:t>
      </w:r>
      <w:proofErr w:type="gramStart"/>
      <w:r w:rsidR="00F1672D" w:rsidRPr="000B0003">
        <w:rPr>
          <w:rFonts w:ascii="Bookman Old Style" w:hAnsi="Bookman Old Style"/>
        </w:rPr>
        <w:t>locality;</w:t>
      </w:r>
      <w:proofErr w:type="gramEnd"/>
    </w:p>
    <w:p w14:paraId="569ABC81" w14:textId="77777777" w:rsidR="00F1672D" w:rsidRPr="000B0003" w:rsidRDefault="00984705" w:rsidP="00D0729B">
      <w:pPr>
        <w:pStyle w:val="NormalWeb"/>
        <w:spacing w:before="0" w:beforeAutospacing="0" w:after="0" w:afterAutospacing="0"/>
        <w:rPr>
          <w:rFonts w:ascii="Bookman Old Style" w:hAnsi="Bookman Old Style"/>
        </w:rPr>
      </w:pPr>
      <w:r>
        <w:rPr>
          <w:rFonts w:ascii="Bookman Old Style" w:hAnsi="Bookman Old Style"/>
          <w:noProof/>
        </w:rPr>
        <w:pict w14:anchorId="0F475405">
          <v:shape id="Picture 5" o:spid="_x0000_i1027" type="#_x0000_t75" alt="http://www.legis.state.ak.us/sdimages/tab.gif" style="width:22.5pt;height:.75pt;visibility:visible">
            <v:imagedata r:id="rId8" o:title="tab"/>
          </v:shape>
        </w:pict>
      </w:r>
      <w:r w:rsidR="00F1672D" w:rsidRPr="000B0003">
        <w:rPr>
          <w:rFonts w:ascii="Bookman Old Style" w:hAnsi="Bookman Old Style"/>
        </w:rPr>
        <w:t>(3) if, as a condition of being employed, the individual would be required to join a company union or to resign from or refrain from joining a bona fide labor organization.</w:t>
      </w:r>
    </w:p>
    <w:p w14:paraId="093E9215" w14:textId="77777777" w:rsidR="00F1672D" w:rsidRPr="000B0003" w:rsidRDefault="00F1672D" w:rsidP="00D0729B">
      <w:pPr>
        <w:pStyle w:val="NormalWeb"/>
        <w:spacing w:before="0" w:beforeAutospacing="0" w:after="0" w:afterAutospacing="0"/>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14:paraId="4076F4B7" w14:textId="77777777" w:rsidR="00F1672D" w:rsidRPr="004E4DD2" w:rsidRDefault="00F1672D" w:rsidP="004E4DD2">
      <w:pPr>
        <w:rPr>
          <w:rFonts w:ascii="Bookman Old Style" w:hAnsi="Bookman Old Style"/>
          <w:szCs w:val="24"/>
        </w:rPr>
      </w:pPr>
    </w:p>
    <w:p w14:paraId="2E96D617" w14:textId="77777777" w:rsidR="00495219" w:rsidRDefault="00495219" w:rsidP="004E4DD2">
      <w:pPr>
        <w:rPr>
          <w:rFonts w:ascii="Bookman Old Style" w:hAnsi="Bookman Old Style"/>
          <w:b/>
          <w:szCs w:val="24"/>
        </w:rPr>
      </w:pPr>
      <w:r w:rsidRPr="004E4DD2">
        <w:rPr>
          <w:rFonts w:ascii="Bookman Old Style" w:hAnsi="Bookman Old Style"/>
          <w:b/>
          <w:szCs w:val="24"/>
        </w:rPr>
        <w:lastRenderedPageBreak/>
        <w:t>8 AAC 85.410. Suitable work.</w:t>
      </w:r>
    </w:p>
    <w:p w14:paraId="6BA00060" w14:textId="77777777" w:rsidR="004E4DD2" w:rsidRPr="004E4DD2" w:rsidRDefault="004E4DD2" w:rsidP="004E4DD2">
      <w:pPr>
        <w:rPr>
          <w:rFonts w:ascii="Bookman Old Style" w:hAnsi="Bookman Old Style"/>
          <w:b/>
          <w:szCs w:val="24"/>
        </w:rPr>
      </w:pPr>
    </w:p>
    <w:p w14:paraId="743B62C6"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w:t>
      </w:r>
      <w:proofErr w:type="gramStart"/>
      <w:r w:rsidRPr="00336AA1">
        <w:rPr>
          <w:rFonts w:ascii="Bookman Old Style" w:hAnsi="Bookman Old Style"/>
        </w:rPr>
        <w:t>occupation, or</w:t>
      </w:r>
      <w:proofErr w:type="gramEnd"/>
      <w:r w:rsidRPr="00336AA1">
        <w:rPr>
          <w:rFonts w:ascii="Bookman Old Style" w:hAnsi="Bookman Old Style"/>
        </w:rPr>
        <w:t xml:space="preserve"> is work for which the claimant has training and experience. </w:t>
      </w:r>
    </w:p>
    <w:p w14:paraId="25494888"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077053F7"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7B51D3F0"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0D3C9AA6"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greatest number of workers employed at the same rate is not at least one-third of the total employed, then the prevailing rate will be expressed as the weighted average of the total number of </w:t>
      </w:r>
      <w:proofErr w:type="gramStart"/>
      <w:r w:rsidRPr="00336AA1">
        <w:rPr>
          <w:rFonts w:ascii="Bookman Old Style" w:hAnsi="Bookman Old Style"/>
        </w:rPr>
        <w:t>rates;</w:t>
      </w:r>
      <w:proofErr w:type="gramEnd"/>
      <w:r w:rsidRPr="00336AA1">
        <w:rPr>
          <w:rFonts w:ascii="Bookman Old Style" w:hAnsi="Bookman Old Style"/>
        </w:rPr>
        <w:t xml:space="preserve"> </w:t>
      </w:r>
    </w:p>
    <w:p w14:paraId="69057A8A" w14:textId="77777777"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w:t>
      </w:r>
      <w:proofErr w:type="gramStart"/>
      <w:r w:rsidRPr="00336AA1">
        <w:rPr>
          <w:rFonts w:ascii="Bookman Old Style" w:hAnsi="Bookman Old Style"/>
        </w:rPr>
        <w:t>technical, or</w:t>
      </w:r>
      <w:proofErr w:type="gramEnd"/>
      <w:r w:rsidRPr="00336AA1">
        <w:rPr>
          <w:rFonts w:ascii="Bookman Old Style" w:hAnsi="Bookman Old Style"/>
        </w:rPr>
        <w:t xml:space="preserve"> would have no adverse effect on the claimant. Wages for work offered to a claimant are substantially less favorable than those prevailing if the offered rate is less than 90 percent of the prevailing rate. </w:t>
      </w:r>
    </w:p>
    <w:p w14:paraId="123AEEBB" w14:textId="77777777"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14:paraId="79E5334D" w14:textId="77777777"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14:paraId="68EE1A17" w14:textId="77777777" w:rsidR="004E4DD2" w:rsidRPr="004E4DD2" w:rsidRDefault="004E4DD2" w:rsidP="004E4DD2">
      <w:pPr>
        <w:tabs>
          <w:tab w:val="left" w:pos="720"/>
          <w:tab w:val="left" w:pos="1080"/>
          <w:tab w:val="left" w:pos="1890"/>
          <w:tab w:val="left" w:pos="2160"/>
        </w:tabs>
        <w:rPr>
          <w:rFonts w:ascii="Bookman Old Style" w:hAnsi="Bookman Old Style"/>
          <w:b/>
          <w:szCs w:val="24"/>
        </w:rPr>
      </w:pPr>
    </w:p>
    <w:p w14:paraId="6FC23AEF" w14:textId="798CB60C" w:rsidR="00495219" w:rsidRPr="00D0729B" w:rsidRDefault="00495219" w:rsidP="00D0729B">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14:paraId="095BD565"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t xml:space="preserve">a job opening exists at the time the offer is made or the referral </w:t>
      </w:r>
      <w:proofErr w:type="gramStart"/>
      <w:r w:rsidRPr="004E4DD2">
        <w:rPr>
          <w:rFonts w:ascii="Bookman Old Style" w:hAnsi="Bookman Old Style"/>
          <w:szCs w:val="24"/>
        </w:rPr>
        <w:t>given;</w:t>
      </w:r>
      <w:proofErr w:type="gramEnd"/>
      <w:r w:rsidRPr="004E4DD2">
        <w:rPr>
          <w:rFonts w:ascii="Bookman Old Style" w:hAnsi="Bookman Old Style"/>
          <w:szCs w:val="24"/>
        </w:rPr>
        <w:t xml:space="preserve"> </w:t>
      </w:r>
    </w:p>
    <w:p w14:paraId="23162CD4"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the claimant understands that he is receiving an offer or referral, unless an offer of work is not made by the employer because of </w:t>
      </w:r>
      <w:r w:rsidRPr="004E4DD2">
        <w:rPr>
          <w:rFonts w:ascii="Bookman Old Style" w:hAnsi="Bookman Old Style"/>
          <w:szCs w:val="24"/>
        </w:rPr>
        <w:lastRenderedPageBreak/>
        <w:t xml:space="preserve">claimant actions which cause the employer to withhold an offer of </w:t>
      </w:r>
      <w:proofErr w:type="gramStart"/>
      <w:r w:rsidRPr="004E4DD2">
        <w:rPr>
          <w:rFonts w:ascii="Bookman Old Style" w:hAnsi="Bookman Old Style"/>
          <w:szCs w:val="24"/>
        </w:rPr>
        <w:t>employment;</w:t>
      </w:r>
      <w:proofErr w:type="gramEnd"/>
      <w:r w:rsidRPr="004E4DD2">
        <w:rPr>
          <w:rFonts w:ascii="Bookman Old Style" w:hAnsi="Bookman Old Style"/>
          <w:szCs w:val="24"/>
        </w:rPr>
        <w:t xml:space="preserve"> </w:t>
      </w:r>
    </w:p>
    <w:p w14:paraId="24C29024"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14:paraId="1603AB76" w14:textId="74D97B18" w:rsidR="000C67D4" w:rsidRDefault="00495219" w:rsidP="000E25F9">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the claimant, upon accepting a referral, is given adequate information concerning where and how he should apply. </w:t>
      </w:r>
    </w:p>
    <w:p w14:paraId="25D58CE2" w14:textId="77777777"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14:paraId="0C8A8ABA"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t xml:space="preserve">refusal of a job </w:t>
      </w:r>
      <w:proofErr w:type="gramStart"/>
      <w:r w:rsidRPr="004E4DD2">
        <w:rPr>
          <w:rFonts w:ascii="Bookman Old Style" w:hAnsi="Bookman Old Style"/>
          <w:szCs w:val="24"/>
        </w:rPr>
        <w:t>offer</w:t>
      </w:r>
      <w:proofErr w:type="gramEnd"/>
      <w:r w:rsidRPr="004E4DD2">
        <w:rPr>
          <w:rFonts w:ascii="Bookman Old Style" w:hAnsi="Bookman Old Style"/>
          <w:szCs w:val="24"/>
        </w:rPr>
        <w:t xml:space="preserve"> from an employer or from an agent of the employer having authority to hire; </w:t>
      </w:r>
    </w:p>
    <w:p w14:paraId="39F8C621"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t xml:space="preserve">action by the claimant which causes the employer to withhold a job offer; or </w:t>
      </w:r>
    </w:p>
    <w:p w14:paraId="17D5C18C"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t xml:space="preserve">after acceptance of a job offer, a failure to report to work on the first scheduled day of work. </w:t>
      </w:r>
    </w:p>
    <w:p w14:paraId="7E6EDE5D" w14:textId="77777777" w:rsidR="00A6022C" w:rsidRPr="004E4DD2" w:rsidRDefault="00A6022C" w:rsidP="004E4DD2">
      <w:pPr>
        <w:tabs>
          <w:tab w:val="left" w:pos="-1440"/>
          <w:tab w:val="left" w:pos="-720"/>
        </w:tabs>
        <w:rPr>
          <w:rFonts w:ascii="Bookman Old Style" w:hAnsi="Bookman Old Style"/>
          <w:szCs w:val="24"/>
        </w:rPr>
      </w:pPr>
    </w:p>
    <w:p w14:paraId="7E559310" w14:textId="77777777"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14:paraId="33F7C1A0" w14:textId="77777777" w:rsidR="004E4DD2" w:rsidRDefault="004E4DD2" w:rsidP="004E4DD2">
      <w:pPr>
        <w:tabs>
          <w:tab w:val="left" w:pos="-1440"/>
          <w:tab w:val="left" w:pos="-720"/>
        </w:tabs>
        <w:rPr>
          <w:rFonts w:ascii="Bookman Old Style" w:hAnsi="Bookman Old Style"/>
          <w:szCs w:val="24"/>
        </w:rPr>
      </w:pPr>
    </w:p>
    <w:p w14:paraId="3373CCF2" w14:textId="7C8A3926" w:rsidR="00020F31" w:rsidRDefault="00020F31" w:rsidP="00020F31">
      <w:pPr>
        <w:tabs>
          <w:tab w:val="left" w:pos="-1440"/>
          <w:tab w:val="left" w:pos="-720"/>
        </w:tabs>
        <w:rPr>
          <w:rFonts w:ascii="Bookman Old Style" w:hAnsi="Bookman Old Style"/>
          <w:szCs w:val="24"/>
        </w:rPr>
      </w:pPr>
      <w:r>
        <w:rPr>
          <w:rFonts w:ascii="Bookman Old Style" w:hAnsi="Bookman Old Style"/>
          <w:szCs w:val="24"/>
        </w:rPr>
        <w:t xml:space="preserve">Alaska Statute 23.20.379 holds that a claimant who refuses an offer of work without good cause is subject to penalties. </w:t>
      </w:r>
    </w:p>
    <w:p w14:paraId="5DBF73D1" w14:textId="77777777" w:rsidR="00020F31" w:rsidRPr="004E4DD2" w:rsidRDefault="00020F31" w:rsidP="00020F31">
      <w:pPr>
        <w:tabs>
          <w:tab w:val="left" w:pos="-1440"/>
          <w:tab w:val="left" w:pos="-720"/>
        </w:tabs>
        <w:rPr>
          <w:rFonts w:ascii="Bookman Old Style" w:hAnsi="Bookman Old Style"/>
          <w:szCs w:val="24"/>
        </w:rPr>
      </w:pPr>
    </w:p>
    <w:p w14:paraId="42CBF7DC" w14:textId="61273CE3" w:rsidR="005A281D" w:rsidRDefault="008D44AF" w:rsidP="004E4DD2">
      <w:pPr>
        <w:tabs>
          <w:tab w:val="left" w:pos="-1440"/>
          <w:tab w:val="left" w:pos="-720"/>
        </w:tabs>
        <w:rPr>
          <w:rFonts w:ascii="Bookman Old Style" w:hAnsi="Bookman Old Style"/>
          <w:szCs w:val="24"/>
        </w:rPr>
      </w:pPr>
      <w:r>
        <w:rPr>
          <w:rFonts w:ascii="Bookman Old Style" w:hAnsi="Bookman Old Style"/>
          <w:szCs w:val="24"/>
        </w:rPr>
        <w:t xml:space="preserve">The claimant in this case received an offer of work on April 6, 2021. She was advised of the hours, pay and locations for the work.  The employer got the claimant’s name from the Division’s work registration website, which is intended to match unemployed workers with available jobs and is only accessible by employers vetted by the Division. The Tribunal concludes that the offer of work was a valid offer. </w:t>
      </w:r>
    </w:p>
    <w:p w14:paraId="3957B3D2" w14:textId="749A5395" w:rsidR="00020F31" w:rsidRDefault="00020F31" w:rsidP="004E4DD2">
      <w:pPr>
        <w:tabs>
          <w:tab w:val="left" w:pos="-1440"/>
          <w:tab w:val="left" w:pos="-720"/>
        </w:tabs>
        <w:rPr>
          <w:rFonts w:ascii="Bookman Old Style" w:hAnsi="Bookman Old Style"/>
          <w:szCs w:val="24"/>
        </w:rPr>
      </w:pPr>
    </w:p>
    <w:p w14:paraId="1B1648E1" w14:textId="77777777" w:rsidR="00020F31" w:rsidRDefault="00020F31" w:rsidP="00020F31">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leaving or refusing work.  The claimant in this matter did not refuse the work for one of the allowable reasons.  The regulation also directs the Department to consider the suitability of the work as laid out in AS 23.20.385(b).  The claimant did not establish that janitorial work offered was not suitable to her.  This leaves the Tribunal to consider other factors that would influence a reasonably prudent person in the claimant’s circumstances.  </w:t>
      </w:r>
    </w:p>
    <w:p w14:paraId="40F6923D" w14:textId="77777777" w:rsidR="00020F31" w:rsidRDefault="00020F31" w:rsidP="00020F31">
      <w:pPr>
        <w:suppressAutoHyphens/>
        <w:spacing w:line="264" w:lineRule="auto"/>
        <w:rPr>
          <w:rFonts w:ascii="Bookman Old Style" w:hAnsi="Bookman Old Style"/>
          <w:spacing w:val="-3"/>
        </w:rPr>
      </w:pPr>
    </w:p>
    <w:p w14:paraId="4E551855" w14:textId="77777777" w:rsidR="00020F31" w:rsidRDefault="00020F31" w:rsidP="00020F31">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31935D7B" w14:textId="77777777" w:rsidR="00020F31" w:rsidRPr="00E1187D" w:rsidRDefault="00020F31" w:rsidP="00020F31">
      <w:pPr>
        <w:rPr>
          <w:rFonts w:ascii="Bookman Old Style" w:hAnsi="Bookman Old Style"/>
          <w:szCs w:val="24"/>
        </w:rPr>
      </w:pPr>
    </w:p>
    <w:p w14:paraId="5F85623B" w14:textId="6A8AEED3" w:rsidR="00020F31" w:rsidRPr="00564EA2" w:rsidRDefault="00020F31" w:rsidP="00564EA2">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w:t>
      </w:r>
      <w:r w:rsidRPr="004A3290">
        <w:rPr>
          <w:rFonts w:ascii="Bookman Old Style" w:hAnsi="Bookman Old Style"/>
          <w:i/>
          <w:szCs w:val="24"/>
        </w:rPr>
        <w:lastRenderedPageBreak/>
        <w:t xml:space="preserve">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398BBDDF" w14:textId="40FFF498" w:rsidR="008D44AF" w:rsidRDefault="008D44AF" w:rsidP="004E4DD2">
      <w:pPr>
        <w:tabs>
          <w:tab w:val="left" w:pos="-1440"/>
          <w:tab w:val="left" w:pos="-720"/>
        </w:tabs>
        <w:rPr>
          <w:rFonts w:ascii="Bookman Old Style" w:hAnsi="Bookman Old Style"/>
          <w:szCs w:val="24"/>
        </w:rPr>
      </w:pPr>
    </w:p>
    <w:p w14:paraId="25F07982" w14:textId="3231DCC8" w:rsidR="005A281D" w:rsidRDefault="00020F31" w:rsidP="004E4DD2">
      <w:pPr>
        <w:tabs>
          <w:tab w:val="left" w:pos="-1440"/>
          <w:tab w:val="left" w:pos="-720"/>
        </w:tabs>
        <w:rPr>
          <w:rFonts w:ascii="Bookman Old Style" w:hAnsi="Bookman Old Style"/>
          <w:szCs w:val="24"/>
        </w:rPr>
      </w:pPr>
      <w:r>
        <w:rPr>
          <w:rFonts w:ascii="Bookman Old Style" w:hAnsi="Bookman Old Style"/>
          <w:szCs w:val="24"/>
        </w:rPr>
        <w:t xml:space="preserve">The claimant held she had good cause to refuse the work because the circumstances were </w:t>
      </w:r>
      <w:proofErr w:type="gramStart"/>
      <w:r>
        <w:rPr>
          <w:rFonts w:ascii="Bookman Old Style" w:hAnsi="Bookman Old Style"/>
          <w:szCs w:val="24"/>
        </w:rPr>
        <w:t>unusual</w:t>
      </w:r>
      <w:proofErr w:type="gramEnd"/>
      <w:r>
        <w:rPr>
          <w:rFonts w:ascii="Bookman Old Style" w:hAnsi="Bookman Old Style"/>
          <w:szCs w:val="24"/>
        </w:rPr>
        <w:t xml:space="preserve"> and she felt unsafe getting in a car </w:t>
      </w:r>
      <w:r w:rsidR="00D0729B">
        <w:rPr>
          <w:rFonts w:ascii="Bookman Old Style" w:hAnsi="Bookman Old Style"/>
          <w:szCs w:val="24"/>
        </w:rPr>
        <w:t xml:space="preserve">alone </w:t>
      </w:r>
      <w:r>
        <w:rPr>
          <w:rFonts w:ascii="Bookman Old Style" w:hAnsi="Bookman Old Style"/>
          <w:szCs w:val="24"/>
        </w:rPr>
        <w:t xml:space="preserve">with the </w:t>
      </w:r>
      <w:r w:rsidR="00D0729B">
        <w:rPr>
          <w:rFonts w:ascii="Bookman Old Style" w:hAnsi="Bookman Old Style"/>
          <w:szCs w:val="24"/>
        </w:rPr>
        <w:t xml:space="preserve">employer’s </w:t>
      </w:r>
      <w:r>
        <w:rPr>
          <w:rFonts w:ascii="Bookman Old Style" w:hAnsi="Bookman Old Style"/>
          <w:szCs w:val="24"/>
        </w:rPr>
        <w:t xml:space="preserve">male representative under the circumstances.  </w:t>
      </w:r>
      <w:r w:rsidR="00564EA2">
        <w:rPr>
          <w:rFonts w:ascii="Bookman Old Style" w:hAnsi="Bookman Old Style"/>
          <w:szCs w:val="24"/>
        </w:rPr>
        <w:t xml:space="preserve">The Tribunal agrees. The claimant was not </w:t>
      </w:r>
      <w:r w:rsidR="002355AA">
        <w:rPr>
          <w:rFonts w:ascii="Bookman Old Style" w:hAnsi="Bookman Old Style"/>
          <w:szCs w:val="24"/>
        </w:rPr>
        <w:t>told</w:t>
      </w:r>
      <w:r w:rsidR="00564EA2">
        <w:rPr>
          <w:rFonts w:ascii="Bookman Old Style" w:hAnsi="Bookman Old Style"/>
          <w:szCs w:val="24"/>
        </w:rPr>
        <w:t xml:space="preserve"> how the employer had received her name and contact </w:t>
      </w:r>
      <w:proofErr w:type="gramStart"/>
      <w:r w:rsidR="00564EA2">
        <w:rPr>
          <w:rFonts w:ascii="Bookman Old Style" w:hAnsi="Bookman Old Style"/>
          <w:szCs w:val="24"/>
        </w:rPr>
        <w:t>information,</w:t>
      </w:r>
      <w:proofErr w:type="gramEnd"/>
      <w:r w:rsidR="00564EA2">
        <w:rPr>
          <w:rFonts w:ascii="Bookman Old Style" w:hAnsi="Bookman Old Style"/>
          <w:szCs w:val="24"/>
        </w:rPr>
        <w:t xml:space="preserve"> she was not interviewed but simply offered a job</w:t>
      </w:r>
      <w:r w:rsidR="002355AA">
        <w:rPr>
          <w:rFonts w:ascii="Bookman Old Style" w:hAnsi="Bookman Old Style"/>
          <w:szCs w:val="24"/>
        </w:rPr>
        <w:t xml:space="preserve"> if she showed up the next day</w:t>
      </w:r>
      <w:r w:rsidR="00564EA2">
        <w:rPr>
          <w:rFonts w:ascii="Bookman Old Style" w:hAnsi="Bookman Old Style"/>
          <w:szCs w:val="24"/>
        </w:rPr>
        <w:t xml:space="preserve">. </w:t>
      </w:r>
      <w:r w:rsidR="00D0729B">
        <w:rPr>
          <w:rFonts w:ascii="Bookman Old Style" w:hAnsi="Bookman Old Style"/>
          <w:szCs w:val="24"/>
        </w:rPr>
        <w:t>The claimant met the employer</w:t>
      </w:r>
      <w:r w:rsidR="00D83806">
        <w:rPr>
          <w:rFonts w:ascii="Bookman Old Style" w:hAnsi="Bookman Old Style"/>
          <w:szCs w:val="24"/>
        </w:rPr>
        <w:t>’s representative</w:t>
      </w:r>
      <w:r w:rsidR="00D0729B">
        <w:rPr>
          <w:rFonts w:ascii="Bookman Old Style" w:hAnsi="Bookman Old Style"/>
          <w:szCs w:val="24"/>
        </w:rPr>
        <w:t xml:space="preserve"> in a parking </w:t>
      </w:r>
      <w:proofErr w:type="gramStart"/>
      <w:r w:rsidR="00D0729B">
        <w:rPr>
          <w:rFonts w:ascii="Bookman Old Style" w:hAnsi="Bookman Old Style"/>
          <w:szCs w:val="24"/>
        </w:rPr>
        <w:t>lot</w:t>
      </w:r>
      <w:r w:rsidR="00D83806">
        <w:rPr>
          <w:rFonts w:ascii="Bookman Old Style" w:hAnsi="Bookman Old Style"/>
          <w:szCs w:val="24"/>
        </w:rPr>
        <w:t>, and</w:t>
      </w:r>
      <w:proofErr w:type="gramEnd"/>
      <w:r w:rsidR="00D83806">
        <w:rPr>
          <w:rFonts w:ascii="Bookman Old Style" w:hAnsi="Bookman Old Style"/>
          <w:szCs w:val="24"/>
        </w:rPr>
        <w:t xml:space="preserve"> did not give the claimant the employer’s office address. </w:t>
      </w:r>
      <w:r w:rsidR="00564EA2">
        <w:rPr>
          <w:rFonts w:ascii="Bookman Old Style" w:hAnsi="Bookman Old Style"/>
          <w:szCs w:val="24"/>
        </w:rPr>
        <w:t xml:space="preserve">The representative had no business card and </w:t>
      </w:r>
      <w:r w:rsidR="002355AA">
        <w:rPr>
          <w:rFonts w:ascii="Bookman Old Style" w:hAnsi="Bookman Old Style"/>
          <w:szCs w:val="24"/>
        </w:rPr>
        <w:t xml:space="preserve">was </w:t>
      </w:r>
      <w:r w:rsidR="00D0729B">
        <w:rPr>
          <w:rFonts w:ascii="Bookman Old Style" w:hAnsi="Bookman Old Style"/>
          <w:szCs w:val="24"/>
        </w:rPr>
        <w:t xml:space="preserve">in </w:t>
      </w:r>
      <w:r w:rsidR="00564EA2">
        <w:rPr>
          <w:rFonts w:ascii="Bookman Old Style" w:hAnsi="Bookman Old Style"/>
          <w:szCs w:val="24"/>
        </w:rPr>
        <w:t xml:space="preserve">an unmarked vehicle.  </w:t>
      </w:r>
      <w:r w:rsidR="002355AA">
        <w:rPr>
          <w:rFonts w:ascii="Bookman Old Style" w:hAnsi="Bookman Old Style"/>
          <w:szCs w:val="24"/>
        </w:rPr>
        <w:t>The representative</w:t>
      </w:r>
      <w:r w:rsidR="00564EA2">
        <w:rPr>
          <w:rFonts w:ascii="Bookman Old Style" w:hAnsi="Bookman Old Style"/>
          <w:szCs w:val="24"/>
        </w:rPr>
        <w:t xml:space="preserve"> provided no forms for the claimant to sign and took no information from her before expecting her to begin work. </w:t>
      </w:r>
      <w:r w:rsidR="00D0729B">
        <w:rPr>
          <w:rFonts w:ascii="Bookman Old Style" w:hAnsi="Bookman Old Style"/>
          <w:szCs w:val="24"/>
        </w:rPr>
        <w:t>In short, the employer’s representative offered no evidence to the claimant that he was a valid employer</w:t>
      </w:r>
      <w:r w:rsidR="00D83806">
        <w:rPr>
          <w:rFonts w:ascii="Bookman Old Style" w:hAnsi="Bookman Old Style"/>
          <w:szCs w:val="24"/>
        </w:rPr>
        <w:t xml:space="preserve"> before expecting her to begin work</w:t>
      </w:r>
      <w:r w:rsidR="00D0729B">
        <w:rPr>
          <w:rFonts w:ascii="Bookman Old Style" w:hAnsi="Bookman Old Style"/>
          <w:szCs w:val="24"/>
        </w:rPr>
        <w:t xml:space="preserve">. </w:t>
      </w:r>
      <w:r w:rsidR="002B2CAD">
        <w:rPr>
          <w:rFonts w:ascii="Bookman Old Style" w:hAnsi="Bookman Old Style"/>
          <w:szCs w:val="24"/>
        </w:rPr>
        <w:t xml:space="preserve">The claimant was wary, her family having recently been the victim of fraud, and her husband did not feel she would be safe leaving with the employer’s representative. The Tribunal finds the claimant’s decision to refuse the work to be a reasonable and prudent action in the circumstances. </w:t>
      </w:r>
    </w:p>
    <w:p w14:paraId="1CBE9976" w14:textId="5711F22C" w:rsidR="002B2CAD" w:rsidRDefault="002B2CAD" w:rsidP="004E4DD2">
      <w:pPr>
        <w:tabs>
          <w:tab w:val="left" w:pos="-1440"/>
          <w:tab w:val="left" w:pos="-720"/>
        </w:tabs>
        <w:rPr>
          <w:rFonts w:ascii="Bookman Old Style" w:hAnsi="Bookman Old Style"/>
          <w:szCs w:val="24"/>
        </w:rPr>
      </w:pPr>
    </w:p>
    <w:p w14:paraId="7B8E438E" w14:textId="5BE50E1B" w:rsidR="00020F31" w:rsidRDefault="002B2CAD" w:rsidP="004E4DD2">
      <w:pPr>
        <w:tabs>
          <w:tab w:val="left" w:pos="-1440"/>
          <w:tab w:val="left" w:pos="-720"/>
        </w:tabs>
        <w:rPr>
          <w:rFonts w:ascii="Bookman Old Style" w:hAnsi="Bookman Old Style"/>
          <w:szCs w:val="24"/>
        </w:rPr>
      </w:pPr>
      <w:r>
        <w:rPr>
          <w:rFonts w:ascii="Bookman Old Style" w:hAnsi="Bookman Old Style"/>
          <w:szCs w:val="24"/>
        </w:rPr>
        <w:t xml:space="preserve">The Tribunal concludes the claimant refused an offer of work with good cause. The penalties of 23.20.379 are not appropriate. </w:t>
      </w:r>
    </w:p>
    <w:p w14:paraId="14D99721" w14:textId="77777777" w:rsidR="00020F31" w:rsidRPr="004E4DD2" w:rsidRDefault="00020F31" w:rsidP="004E4DD2">
      <w:pPr>
        <w:tabs>
          <w:tab w:val="left" w:pos="-1440"/>
          <w:tab w:val="left" w:pos="-720"/>
        </w:tabs>
        <w:rPr>
          <w:rFonts w:ascii="Bookman Old Style" w:hAnsi="Bookman Old Style"/>
          <w:szCs w:val="24"/>
        </w:rPr>
      </w:pPr>
    </w:p>
    <w:p w14:paraId="157227C0"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14:paraId="576BBB14" w14:textId="77777777" w:rsidR="005A281D" w:rsidRPr="004E4DD2" w:rsidRDefault="005A281D" w:rsidP="004E4DD2">
      <w:pPr>
        <w:tabs>
          <w:tab w:val="left" w:pos="-1440"/>
          <w:tab w:val="left" w:pos="-720"/>
        </w:tabs>
        <w:rPr>
          <w:rFonts w:ascii="Bookman Old Style" w:hAnsi="Bookman Old Style"/>
          <w:szCs w:val="24"/>
        </w:rPr>
      </w:pPr>
    </w:p>
    <w:p w14:paraId="5AF4CF4C" w14:textId="31FB5763"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355AA">
        <w:rPr>
          <w:rFonts w:ascii="Bookman Old Style" w:hAnsi="Bookman Old Style"/>
          <w:szCs w:val="24"/>
        </w:rPr>
        <w:t xml:space="preserve">May 10, </w:t>
      </w:r>
      <w:proofErr w:type="gramStart"/>
      <w:r w:rsidR="002355AA">
        <w:rPr>
          <w:rFonts w:ascii="Bookman Old Style" w:hAnsi="Bookman Old Style"/>
          <w:szCs w:val="24"/>
        </w:rPr>
        <w:t>2021</w:t>
      </w:r>
      <w:proofErr w:type="gramEnd"/>
      <w:r w:rsidRPr="00E663B4">
        <w:rPr>
          <w:rFonts w:ascii="Bookman Old Style" w:hAnsi="Bookman Old Style"/>
          <w:szCs w:val="24"/>
        </w:rPr>
        <w:t xml:space="preserve"> is </w:t>
      </w:r>
      <w:r w:rsidR="002355AA">
        <w:rPr>
          <w:rFonts w:ascii="Bookman Old Style" w:hAnsi="Bookman Old Style"/>
          <w:b/>
          <w:szCs w:val="24"/>
        </w:rPr>
        <w:t>REVERSED</w:t>
      </w:r>
      <w:r w:rsidRPr="00E663B4">
        <w:rPr>
          <w:rFonts w:ascii="Bookman Old Style" w:hAnsi="Bookman Old Style"/>
          <w:szCs w:val="24"/>
        </w:rPr>
        <w:t xml:space="preserve">. Benefits are </w:t>
      </w:r>
      <w:r w:rsidR="002355AA">
        <w:rPr>
          <w:rFonts w:ascii="Bookman Old Style" w:hAnsi="Bookman Old Style"/>
          <w:b/>
          <w:szCs w:val="24"/>
        </w:rPr>
        <w:t>ALLOWED</w:t>
      </w:r>
      <w:r w:rsidRPr="00E663B4">
        <w:rPr>
          <w:rFonts w:ascii="Bookman Old Style" w:hAnsi="Bookman Old Style"/>
          <w:szCs w:val="24"/>
        </w:rPr>
        <w:t xml:space="preserve"> for the weeks ending </w:t>
      </w:r>
      <w:r w:rsidR="002355AA">
        <w:rPr>
          <w:rFonts w:ascii="Bookman Old Style" w:hAnsi="Bookman Old Style"/>
          <w:szCs w:val="24"/>
        </w:rPr>
        <w:t xml:space="preserve">April 10, </w:t>
      </w:r>
      <w:proofErr w:type="gramStart"/>
      <w:r w:rsidR="002355AA">
        <w:rPr>
          <w:rFonts w:ascii="Bookman Old Style" w:hAnsi="Bookman Old Style"/>
          <w:szCs w:val="24"/>
        </w:rPr>
        <w:t>20</w:t>
      </w:r>
      <w:r w:rsidR="00532381">
        <w:rPr>
          <w:rFonts w:ascii="Bookman Old Style" w:hAnsi="Bookman Old Style"/>
          <w:szCs w:val="24"/>
        </w:rPr>
        <w:t>2</w:t>
      </w:r>
      <w:r w:rsidR="002355AA">
        <w:rPr>
          <w:rFonts w:ascii="Bookman Old Style" w:hAnsi="Bookman Old Style"/>
          <w:szCs w:val="24"/>
        </w:rPr>
        <w:t>1</w:t>
      </w:r>
      <w:proofErr w:type="gramEnd"/>
      <w:r w:rsidR="002355AA">
        <w:rPr>
          <w:rFonts w:ascii="Bookman Old Style" w:hAnsi="Bookman Old Style"/>
          <w:szCs w:val="24"/>
        </w:rPr>
        <w:t xml:space="preserve"> through May 15, 2021</w:t>
      </w:r>
      <w:r>
        <w:rPr>
          <w:rFonts w:ascii="Bookman Old Style" w:hAnsi="Bookman Old Style"/>
          <w:szCs w:val="24"/>
        </w:rPr>
        <w:t>, if the claimant is otherwise eligible</w:t>
      </w:r>
      <w:r w:rsidRPr="00E663B4">
        <w:rPr>
          <w:rFonts w:ascii="Bookman Old Style" w:hAnsi="Bookman Old Style"/>
          <w:szCs w:val="24"/>
        </w:rPr>
        <w:t>.</w:t>
      </w:r>
    </w:p>
    <w:p w14:paraId="7CC17910" w14:textId="77777777" w:rsidR="004E4DD2" w:rsidRDefault="004E4DD2" w:rsidP="004E4DD2">
      <w:pPr>
        <w:rPr>
          <w:rFonts w:ascii="Bookman Old Style" w:hAnsi="Bookman Old Style"/>
          <w:szCs w:val="24"/>
        </w:rPr>
      </w:pPr>
      <w:r>
        <w:rPr>
          <w:rFonts w:ascii="Bookman Old Style" w:hAnsi="Bookman Old Style"/>
          <w:szCs w:val="24"/>
        </w:rPr>
        <w:t xml:space="preserve"> </w:t>
      </w:r>
    </w:p>
    <w:p w14:paraId="254E4E94" w14:textId="77777777" w:rsidR="005A281D" w:rsidRPr="004E4DD2" w:rsidRDefault="005A281D" w:rsidP="004E4DD2">
      <w:pPr>
        <w:tabs>
          <w:tab w:val="left" w:pos="-1440"/>
          <w:tab w:val="left" w:pos="-720"/>
        </w:tabs>
        <w:rPr>
          <w:rFonts w:ascii="Bookman Old Style" w:hAnsi="Bookman Old Style"/>
          <w:szCs w:val="24"/>
        </w:rPr>
      </w:pPr>
    </w:p>
    <w:p w14:paraId="48294FAB" w14:textId="77777777"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14:paraId="73E22D08" w14:textId="77777777" w:rsidR="005A281D" w:rsidRPr="004E4DD2" w:rsidRDefault="005A281D" w:rsidP="004E4DD2">
      <w:pPr>
        <w:tabs>
          <w:tab w:val="left" w:pos="-1440"/>
          <w:tab w:val="left" w:pos="-720"/>
        </w:tabs>
        <w:rPr>
          <w:rFonts w:ascii="Bookman Old Style" w:hAnsi="Bookman Old Style"/>
          <w:szCs w:val="24"/>
        </w:rPr>
      </w:pPr>
    </w:p>
    <w:p w14:paraId="46E68AE9" w14:textId="77777777"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56BE1FE" w14:textId="77777777" w:rsidR="005A281D" w:rsidRPr="004E4DD2" w:rsidRDefault="005A281D" w:rsidP="004E4DD2">
      <w:pPr>
        <w:tabs>
          <w:tab w:val="left" w:pos="-1440"/>
          <w:tab w:val="left" w:pos="-720"/>
        </w:tabs>
        <w:rPr>
          <w:rFonts w:ascii="Bookman Old Style" w:hAnsi="Bookman Old Style"/>
          <w:szCs w:val="24"/>
        </w:rPr>
      </w:pPr>
    </w:p>
    <w:p w14:paraId="66C97C7A" w14:textId="5474D44F"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2355AA">
        <w:rPr>
          <w:rFonts w:ascii="Bookman Old Style" w:hAnsi="Bookman Old Style"/>
          <w:szCs w:val="24"/>
        </w:rPr>
        <w:t>December 2, 2021</w:t>
      </w:r>
      <w:r w:rsidR="005A281D" w:rsidRPr="004E4DD2">
        <w:rPr>
          <w:rFonts w:ascii="Bookman Old Style" w:hAnsi="Bookman Old Style"/>
          <w:szCs w:val="24"/>
        </w:rPr>
        <w:t>.</w:t>
      </w:r>
    </w:p>
    <w:p w14:paraId="5AB93ECB" w14:textId="77777777" w:rsidR="005A281D" w:rsidRPr="004E4DD2" w:rsidRDefault="005A281D" w:rsidP="004E4DD2">
      <w:pPr>
        <w:tabs>
          <w:tab w:val="left" w:pos="-1440"/>
          <w:tab w:val="left" w:pos="-720"/>
        </w:tabs>
        <w:rPr>
          <w:rFonts w:ascii="Bookman Old Style" w:hAnsi="Bookman Old Style"/>
          <w:szCs w:val="24"/>
        </w:rPr>
      </w:pPr>
    </w:p>
    <w:p w14:paraId="0FAACFDC" w14:textId="77777777" w:rsidR="005A281D" w:rsidRPr="004E4DD2"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14:paraId="26F4E3CB" w14:textId="77777777" w:rsidR="008A7C97" w:rsidRPr="004E4DD2" w:rsidRDefault="008A7C97" w:rsidP="004E4DD2">
      <w:pPr>
        <w:tabs>
          <w:tab w:val="left" w:pos="-1440"/>
          <w:tab w:val="left" w:pos="-720"/>
        </w:tabs>
        <w:rPr>
          <w:rFonts w:ascii="Bookman Old Style" w:hAnsi="Bookman Old Style"/>
          <w:szCs w:val="24"/>
        </w:rPr>
      </w:pPr>
    </w:p>
    <w:p w14:paraId="6A3DD230" w14:textId="683A2788"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2355AA">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14:paraId="60B57C8A" w14:textId="77777777"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A975" w14:textId="77777777" w:rsidR="00EE0663" w:rsidRDefault="00EE0663">
      <w:pPr>
        <w:widowControl/>
        <w:spacing w:line="20" w:lineRule="exact"/>
      </w:pPr>
    </w:p>
  </w:endnote>
  <w:endnote w:type="continuationSeparator" w:id="0">
    <w:p w14:paraId="44936DDC" w14:textId="77777777" w:rsidR="00EE0663" w:rsidRDefault="00EE0663">
      <w:r>
        <w:t xml:space="preserve"> </w:t>
      </w:r>
    </w:p>
  </w:endnote>
  <w:endnote w:type="continuationNotice" w:id="1">
    <w:p w14:paraId="4C7B7094" w14:textId="77777777" w:rsidR="00EE0663" w:rsidRDefault="00EE06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FEB6" w14:textId="77777777" w:rsidR="00EE0663" w:rsidRDefault="00EE0663">
      <w:r>
        <w:separator/>
      </w:r>
    </w:p>
  </w:footnote>
  <w:footnote w:type="continuationSeparator" w:id="0">
    <w:p w14:paraId="64B708EF" w14:textId="77777777" w:rsidR="00EE0663" w:rsidRDefault="00EE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5534" w14:textId="18CE856E"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422B5F">
      <w:rPr>
        <w:rFonts w:ascii="Bookman Old Style" w:hAnsi="Bookman Old Style"/>
      </w:rPr>
      <w:t>21 0896</w:t>
    </w:r>
  </w:p>
  <w:p w14:paraId="103FA49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1672D">
      <w:rPr>
        <w:rStyle w:val="PageNumber"/>
        <w:rFonts w:ascii="Bookman Old Style" w:hAnsi="Bookman Old Style"/>
        <w:noProof/>
      </w:rPr>
      <w:t>2</w:t>
    </w:r>
    <w:r w:rsidRPr="00B554BF">
      <w:rPr>
        <w:rStyle w:val="PageNumber"/>
        <w:rFonts w:ascii="Bookman Old Style" w:hAnsi="Bookman Old Style"/>
      </w:rPr>
      <w:fldChar w:fldCharType="end"/>
    </w:r>
  </w:p>
  <w:p w14:paraId="749A7352"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663"/>
    <w:rsid w:val="00020F31"/>
    <w:rsid w:val="000C67D4"/>
    <w:rsid w:val="000D3B41"/>
    <w:rsid w:val="000E25F9"/>
    <w:rsid w:val="000F5712"/>
    <w:rsid w:val="001002E5"/>
    <w:rsid w:val="001172FA"/>
    <w:rsid w:val="002355AA"/>
    <w:rsid w:val="00270E59"/>
    <w:rsid w:val="002A3C37"/>
    <w:rsid w:val="002B2CAD"/>
    <w:rsid w:val="002C42D3"/>
    <w:rsid w:val="002D5A94"/>
    <w:rsid w:val="002F070B"/>
    <w:rsid w:val="002F4808"/>
    <w:rsid w:val="00336AA1"/>
    <w:rsid w:val="0036679E"/>
    <w:rsid w:val="00382877"/>
    <w:rsid w:val="003A16A1"/>
    <w:rsid w:val="003A418B"/>
    <w:rsid w:val="003F11A6"/>
    <w:rsid w:val="004019AA"/>
    <w:rsid w:val="00422B5F"/>
    <w:rsid w:val="004758FD"/>
    <w:rsid w:val="00495219"/>
    <w:rsid w:val="004B0A1E"/>
    <w:rsid w:val="004E4DD2"/>
    <w:rsid w:val="00532381"/>
    <w:rsid w:val="00564EA2"/>
    <w:rsid w:val="005A281D"/>
    <w:rsid w:val="00661D74"/>
    <w:rsid w:val="00662BB7"/>
    <w:rsid w:val="00774034"/>
    <w:rsid w:val="008A7C97"/>
    <w:rsid w:val="008B1CA2"/>
    <w:rsid w:val="008D44AF"/>
    <w:rsid w:val="00984705"/>
    <w:rsid w:val="00A6022C"/>
    <w:rsid w:val="00A96AB1"/>
    <w:rsid w:val="00AE06A8"/>
    <w:rsid w:val="00AF4A70"/>
    <w:rsid w:val="00B163A7"/>
    <w:rsid w:val="00B554BF"/>
    <w:rsid w:val="00B70146"/>
    <w:rsid w:val="00B72B84"/>
    <w:rsid w:val="00C47467"/>
    <w:rsid w:val="00CF1E7B"/>
    <w:rsid w:val="00D025D4"/>
    <w:rsid w:val="00D0729B"/>
    <w:rsid w:val="00D3704C"/>
    <w:rsid w:val="00D829CE"/>
    <w:rsid w:val="00D83806"/>
    <w:rsid w:val="00DD54FF"/>
    <w:rsid w:val="00EA2DA8"/>
    <w:rsid w:val="00EC3E1C"/>
    <w:rsid w:val="00EE0663"/>
    <w:rsid w:val="00F1672D"/>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1542E78"/>
  <w15:chartTrackingRefBased/>
  <w15:docId w15:val="{62EE45AC-C9E1-4932-9786-CBDBBB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1</TotalTime>
  <Pages>5</Pages>
  <Words>1801</Words>
  <Characters>9097</Characters>
  <Application>Microsoft Office Word</Application>
  <DocSecurity>0</DocSecurity>
  <Lines>233</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2021-12-13T16:47:00Z</dcterms:created>
  <dcterms:modified xsi:type="dcterms:W3CDTF">2021-12-13T16:47:00Z</dcterms:modified>
</cp:coreProperties>
</file>