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74254">
        <w:rPr>
          <w:rFonts w:ascii="Bookman Old Style" w:hAnsi="Bookman Old Style"/>
        </w:rPr>
        <w:t>21 0922</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74254">
        <w:rPr>
          <w:rFonts w:ascii="Bookman Old Style" w:hAnsi="Bookman Old Style"/>
        </w:rPr>
        <w:t>July 6, 2021</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474254">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DONNA ZAHINA</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A428B0" w:rsidRDefault="00A428B0">
      <w:pPr>
        <w:widowControl/>
        <w:tabs>
          <w:tab w:val="left" w:pos="-1440"/>
          <w:tab w:val="left" w:pos="-720"/>
          <w:tab w:val="left" w:pos="0"/>
          <w:tab w:val="left" w:pos="5760"/>
        </w:tabs>
        <w:suppressAutoHyphens/>
        <w:ind w:right="-360"/>
        <w:rPr>
          <w:rFonts w:ascii="Bookman Old Style" w:hAnsi="Bookman Old Style"/>
        </w:rPr>
      </w:pPr>
    </w:p>
    <w:p w:rsidR="00A428B0" w:rsidRPr="00774034" w:rsidRDefault="00A428B0">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474254">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Donna Zahina</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a </w:t>
      </w:r>
      <w:r w:rsidR="00474254">
        <w:rPr>
          <w:rFonts w:ascii="Bookman Old Style" w:hAnsi="Bookman Old Style"/>
          <w:szCs w:val="24"/>
        </w:rPr>
        <w:t>March 1, 2021</w:t>
      </w:r>
      <w:r w:rsidRPr="008F7CCB">
        <w:rPr>
          <w:rFonts w:ascii="Bookman Old Style" w:hAnsi="Bookman Old Style"/>
          <w:szCs w:val="24"/>
        </w:rPr>
        <w:t xml:space="preserve"> 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474254">
        <w:rPr>
          <w:rFonts w:ascii="Bookman Old Style" w:hAnsi="Bookman Old Style"/>
          <w:szCs w:val="24"/>
        </w:rPr>
        <w:t>October 4, 2020</w:t>
      </w:r>
      <w:r w:rsidRPr="008F7CCB">
        <w:rPr>
          <w:rFonts w:ascii="Bookman Old Style" w:hAnsi="Bookman Old Style"/>
          <w:szCs w:val="24"/>
        </w:rPr>
        <w:t xml:space="preserve">. </w:t>
      </w:r>
      <w:r w:rsidR="000805BB">
        <w:rPr>
          <w:rFonts w:ascii="Bookman Old Style" w:hAnsi="Bookman Old Style"/>
          <w:szCs w:val="24"/>
        </w:rPr>
        <w:t xml:space="preserve">On </w:t>
      </w:r>
      <w:r w:rsidR="00474254">
        <w:rPr>
          <w:rFonts w:ascii="Bookman Old Style" w:hAnsi="Bookman Old Style"/>
          <w:szCs w:val="24"/>
        </w:rPr>
        <w:t>January 8, 2021</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474254">
        <w:rPr>
          <w:rFonts w:ascii="Bookman Old Style" w:hAnsi="Bookman Old Style"/>
          <w:szCs w:val="24"/>
        </w:rPr>
        <w:t>she</w:t>
      </w:r>
      <w:r w:rsidR="000805BB">
        <w:rPr>
          <w:rFonts w:ascii="Bookman Old Style" w:hAnsi="Bookman Old Style"/>
          <w:szCs w:val="24"/>
        </w:rPr>
        <w:t xml:space="preserve"> was required to participate in reemployment services. The notice advised the cla</w:t>
      </w:r>
      <w:r w:rsidR="00474254">
        <w:rPr>
          <w:rFonts w:ascii="Bookman Old Style" w:hAnsi="Bookman Old Style"/>
          <w:szCs w:val="24"/>
        </w:rPr>
        <w:t xml:space="preserve">imant to schedule and attend a </w:t>
      </w:r>
      <w:r w:rsidR="000805BB">
        <w:rPr>
          <w:rFonts w:ascii="Bookman Old Style" w:hAnsi="Bookman Old Style"/>
          <w:szCs w:val="24"/>
        </w:rPr>
        <w:t xml:space="preserve">reemployment eligibility assessment interview and complete any assigned activities by </w:t>
      </w:r>
      <w:r w:rsidR="00474254">
        <w:rPr>
          <w:rFonts w:ascii="Bookman Old Style" w:hAnsi="Bookman Old Style"/>
          <w:szCs w:val="24"/>
        </w:rPr>
        <w:t>January 29, 2021</w:t>
      </w:r>
      <w:r w:rsidR="000805BB">
        <w:rPr>
          <w:rFonts w:ascii="Bookman Old Style" w:hAnsi="Bookman Old Style"/>
          <w:szCs w:val="24"/>
        </w:rPr>
        <w:t xml:space="preserve">, or benefits would be denied.  </w:t>
      </w:r>
    </w:p>
    <w:p w:rsidR="00474254" w:rsidRDefault="00474254" w:rsidP="000805BB">
      <w:pPr>
        <w:tabs>
          <w:tab w:val="left" w:pos="-1440"/>
          <w:tab w:val="left" w:pos="-720"/>
        </w:tabs>
        <w:rPr>
          <w:rFonts w:ascii="Bookman Old Style" w:hAnsi="Bookman Old Style"/>
          <w:szCs w:val="24"/>
        </w:rPr>
      </w:pPr>
    </w:p>
    <w:p w:rsidR="00474254" w:rsidRDefault="00474254" w:rsidP="000805BB">
      <w:pPr>
        <w:tabs>
          <w:tab w:val="left" w:pos="-1440"/>
          <w:tab w:val="left" w:pos="-720"/>
        </w:tabs>
        <w:rPr>
          <w:rFonts w:ascii="Bookman Old Style" w:hAnsi="Bookman Old Style"/>
          <w:szCs w:val="24"/>
        </w:rPr>
      </w:pPr>
      <w:r>
        <w:rPr>
          <w:rFonts w:ascii="Bookman Old Style" w:hAnsi="Bookman Old Style"/>
          <w:szCs w:val="24"/>
        </w:rPr>
        <w:t xml:space="preserve">The claimant had returned to work on or about December 22, 2020. </w:t>
      </w:r>
      <w:r w:rsidR="00A428B0">
        <w:rPr>
          <w:rFonts w:ascii="Bookman Old Style" w:hAnsi="Bookman Old Style"/>
          <w:szCs w:val="24"/>
        </w:rPr>
        <w:t>She worked through March 11</w:t>
      </w:r>
      <w:r>
        <w:rPr>
          <w:rFonts w:ascii="Bookman Old Style" w:hAnsi="Bookman Old Style"/>
          <w:szCs w:val="24"/>
        </w:rPr>
        <w:t>, 2021. She attempted to call the Division on several occasions but could not get through due to the volume of calls. She finally arranged a reemployment and eligibility assessment interview on Wednesday, February 24, 2020. She took time off work to complete the assessment interview.</w:t>
      </w:r>
    </w:p>
    <w:p w:rsidR="00E9529D" w:rsidRPr="008F7CCB" w:rsidRDefault="00E9529D" w:rsidP="00E9529D">
      <w:pPr>
        <w:tabs>
          <w:tab w:val="left" w:pos="-1440"/>
          <w:tab w:val="left" w:pos="-720"/>
        </w:tabs>
        <w:rPr>
          <w:rFonts w:ascii="Bookman Old Style" w:hAnsi="Bookman Old Style"/>
          <w:szCs w:val="24"/>
        </w:rPr>
      </w:pP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Default="000805BB" w:rsidP="000805BB">
      <w:pPr>
        <w:pStyle w:val="ListParagraph"/>
        <w:shd w:val="clear" w:color="auto" w:fill="FFFFFF"/>
        <w:ind w:left="1440"/>
        <w:rPr>
          <w:rFonts w:ascii="Bookman Old Style" w:hAnsi="Bookman Old Style"/>
          <w:bCs/>
          <w:color w:val="000000"/>
          <w:szCs w:val="24"/>
        </w:rPr>
      </w:pP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t>
      </w:r>
      <w:r w:rsidRPr="00322A0F">
        <w:rPr>
          <w:rFonts w:ascii="Bookman Old Style" w:hAnsi="Bookman Old Style"/>
          <w:szCs w:val="24"/>
        </w:rPr>
        <w:lastRenderedPageBreak/>
        <w:t xml:space="preserve">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474254" w:rsidRDefault="00474254" w:rsidP="00474254">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474254" w:rsidRDefault="00474254" w:rsidP="00474254">
      <w:pPr>
        <w:widowControl/>
        <w:rPr>
          <w:rFonts w:ascii="Bookman Old Style" w:hAnsi="Bookman Old Style"/>
          <w:snapToGrid/>
          <w:szCs w:val="24"/>
        </w:rPr>
      </w:pPr>
    </w:p>
    <w:p w:rsidR="00474254" w:rsidRDefault="00474254" w:rsidP="00474254">
      <w:pPr>
        <w:widowControl/>
        <w:rPr>
          <w:rFonts w:ascii="Bookman Old Style" w:hAnsi="Bookman Old Style"/>
          <w:snapToGrid/>
          <w:szCs w:val="24"/>
        </w:rPr>
      </w:pPr>
      <w:r>
        <w:rPr>
          <w:rFonts w:ascii="Bookman Old Style" w:hAnsi="Bookman Old Style"/>
          <w:snapToGrid/>
          <w:szCs w:val="24"/>
        </w:rPr>
        <w:t xml:space="preserve">The claimant in this case was directed to participate in reemployment services while </w:t>
      </w:r>
      <w:r>
        <w:rPr>
          <w:rFonts w:ascii="Bookman Old Style" w:hAnsi="Bookman Old Style"/>
          <w:snapToGrid/>
          <w:szCs w:val="24"/>
        </w:rPr>
        <w:t>s</w:t>
      </w:r>
      <w:r>
        <w:rPr>
          <w:rFonts w:ascii="Bookman Old Style" w:hAnsi="Bookman Old Style"/>
          <w:snapToGrid/>
          <w:szCs w:val="24"/>
        </w:rPr>
        <w:t xml:space="preserve">he was not filing for unemployment insurance benefits.  </w:t>
      </w:r>
      <w:r>
        <w:rPr>
          <w:rFonts w:ascii="Bookman Old Style" w:hAnsi="Bookman Old Style"/>
          <w:snapToGrid/>
          <w:szCs w:val="24"/>
        </w:rPr>
        <w:t>She</w:t>
      </w:r>
      <w:r>
        <w:rPr>
          <w:rFonts w:ascii="Bookman Old Style" w:hAnsi="Bookman Old Style"/>
          <w:snapToGrid/>
          <w:szCs w:val="24"/>
        </w:rPr>
        <w:t xml:space="preserve"> scheduled an appointment as soon as possible when </w:t>
      </w:r>
      <w:r>
        <w:rPr>
          <w:rFonts w:ascii="Bookman Old Style" w:hAnsi="Bookman Old Style"/>
          <w:snapToGrid/>
          <w:szCs w:val="24"/>
        </w:rPr>
        <w:t>s</w:t>
      </w:r>
      <w:r>
        <w:rPr>
          <w:rFonts w:ascii="Bookman Old Style" w:hAnsi="Bookman Old Style"/>
          <w:snapToGrid/>
          <w:szCs w:val="24"/>
        </w:rPr>
        <w:t xml:space="preserve">he </w:t>
      </w:r>
      <w:r>
        <w:rPr>
          <w:rFonts w:ascii="Bookman Old Style" w:hAnsi="Bookman Old Style"/>
          <w:snapToGrid/>
          <w:szCs w:val="24"/>
        </w:rPr>
        <w:t>could arrange to be off work.</w:t>
      </w:r>
    </w:p>
    <w:p w:rsidR="00474254" w:rsidRDefault="00474254" w:rsidP="00474254">
      <w:pPr>
        <w:widowControl/>
        <w:rPr>
          <w:rFonts w:ascii="Bookman Old Style" w:hAnsi="Bookman Old Style"/>
          <w:snapToGrid/>
          <w:szCs w:val="24"/>
        </w:rPr>
      </w:pPr>
    </w:p>
    <w:p w:rsidR="00474254" w:rsidRDefault="00474254" w:rsidP="00474254">
      <w:pPr>
        <w:widowControl/>
        <w:rPr>
          <w:rFonts w:ascii="Bookman Old Style" w:hAnsi="Bookman Old Style"/>
          <w:snapToGrid/>
          <w:szCs w:val="24"/>
        </w:rPr>
      </w:pPr>
      <w:r>
        <w:rPr>
          <w:rFonts w:ascii="Bookman Old Style" w:hAnsi="Bookman Old Style"/>
          <w:snapToGrid/>
          <w:szCs w:val="24"/>
        </w:rPr>
        <w:lastRenderedPageBreak/>
        <w:t>The Tribunal finds the</w:t>
      </w:r>
      <w:r>
        <w:rPr>
          <w:rFonts w:ascii="Bookman Old Style" w:hAnsi="Bookman Old Style"/>
          <w:snapToGrid/>
          <w:szCs w:val="24"/>
        </w:rPr>
        <w:t xml:space="preserve"> claimant had good cause for her </w:t>
      </w:r>
      <w:r>
        <w:rPr>
          <w:rFonts w:ascii="Bookman Old Style" w:hAnsi="Bookman Old Style"/>
          <w:snapToGrid/>
          <w:szCs w:val="24"/>
        </w:rPr>
        <w:t xml:space="preserve">delay in participating in the reemployment services.  A reasonable and prudent person would not participate while not claiming benefits.  The claimant participated in the services as soon as could reasonably be expected.  </w:t>
      </w:r>
      <w:r>
        <w:rPr>
          <w:rFonts w:ascii="Bookman Old Style" w:hAnsi="Bookman Old Style"/>
          <w:snapToGrid/>
          <w:szCs w:val="24"/>
        </w:rPr>
        <w:t>Sh</w:t>
      </w:r>
      <w:r>
        <w:rPr>
          <w:rFonts w:ascii="Bookman Old Style" w:hAnsi="Bookman Old Style"/>
          <w:snapToGrid/>
          <w:szCs w:val="24"/>
        </w:rPr>
        <w:t xml:space="preserve">e may be considered to have been available for work during the weeks under review. </w:t>
      </w:r>
    </w:p>
    <w:p w:rsidR="000805BB" w:rsidRPr="00322A0F" w:rsidRDefault="000805BB"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474254">
        <w:rPr>
          <w:rFonts w:ascii="Bookman Old Style" w:hAnsi="Bookman Old Style"/>
          <w:szCs w:val="24"/>
        </w:rPr>
        <w:t>March 1, 2021</w:t>
      </w:r>
      <w:r w:rsidRPr="00E663B4">
        <w:rPr>
          <w:rFonts w:ascii="Bookman Old Style" w:hAnsi="Bookman Old Style"/>
          <w:szCs w:val="24"/>
        </w:rPr>
        <w:t xml:space="preserve"> is </w:t>
      </w:r>
      <w:r w:rsidR="00474254">
        <w:rPr>
          <w:rFonts w:ascii="Bookman Old Style" w:hAnsi="Bookman Old Style"/>
          <w:b/>
          <w:szCs w:val="24"/>
        </w:rPr>
        <w:t>REVERSED</w:t>
      </w:r>
      <w:r w:rsidRPr="00E663B4">
        <w:rPr>
          <w:rFonts w:ascii="Bookman Old Style" w:hAnsi="Bookman Old Style"/>
          <w:szCs w:val="24"/>
        </w:rPr>
        <w:t xml:space="preserve">. Benefits are </w:t>
      </w:r>
      <w:r w:rsidR="00474254">
        <w:rPr>
          <w:rFonts w:ascii="Bookman Old Style" w:hAnsi="Bookman Old Style"/>
          <w:b/>
          <w:szCs w:val="24"/>
        </w:rPr>
        <w:t>allowed</w:t>
      </w:r>
      <w:r w:rsidRPr="00E663B4">
        <w:rPr>
          <w:rFonts w:ascii="Bookman Old Style" w:hAnsi="Bookman Old Style"/>
          <w:szCs w:val="24"/>
        </w:rPr>
        <w:t xml:space="preserve"> for the weeks ending </w:t>
      </w:r>
      <w:r w:rsidR="00474254">
        <w:rPr>
          <w:rFonts w:ascii="Bookman Old Style" w:hAnsi="Bookman Old Style"/>
          <w:szCs w:val="24"/>
        </w:rPr>
        <w:t>January 30, 2021</w:t>
      </w:r>
      <w:r w:rsidRPr="00E663B4">
        <w:rPr>
          <w:rFonts w:ascii="Bookman Old Style" w:hAnsi="Bookman Old Style"/>
          <w:szCs w:val="24"/>
        </w:rPr>
        <w:t xml:space="preserve"> through </w:t>
      </w:r>
      <w:r w:rsidR="00474254">
        <w:rPr>
          <w:rFonts w:ascii="Bookman Old Style" w:hAnsi="Bookman Old Style"/>
          <w:szCs w:val="24"/>
        </w:rPr>
        <w:t>February 20, 2021</w:t>
      </w:r>
      <w:r>
        <w:rPr>
          <w:rFonts w:ascii="Bookman Old Style" w:hAnsi="Bookman Old Style"/>
          <w:szCs w:val="24"/>
        </w:rPr>
        <w:t>, if the claimant is otherwise eligible</w:t>
      </w:r>
      <w:r w:rsidRPr="00E663B4">
        <w:rPr>
          <w:rFonts w:ascii="Bookman Old Style" w:hAnsi="Bookman Old Style"/>
          <w:szCs w:val="24"/>
        </w:rPr>
        <w:t>.</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A428B0">
        <w:rPr>
          <w:rFonts w:ascii="Bookman Old Style" w:hAnsi="Bookman Old Style"/>
        </w:rPr>
        <w:t>July 6, 2021</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EB" w:rsidRDefault="005371EB">
      <w:pPr>
        <w:widowControl/>
        <w:spacing w:line="20" w:lineRule="exact"/>
      </w:pPr>
    </w:p>
  </w:endnote>
  <w:endnote w:type="continuationSeparator" w:id="0">
    <w:p w:rsidR="005371EB" w:rsidRDefault="005371EB">
      <w:r>
        <w:t xml:space="preserve"> </w:t>
      </w:r>
    </w:p>
  </w:endnote>
  <w:endnote w:type="continuationNotice" w:id="1">
    <w:p w:rsidR="005371EB" w:rsidRDefault="005371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EB" w:rsidRDefault="005371EB">
      <w:r>
        <w:separator/>
      </w:r>
    </w:p>
  </w:footnote>
  <w:footnote w:type="continuationSeparator" w:id="0">
    <w:p w:rsidR="005371EB" w:rsidRDefault="0053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474254" w:rsidP="0093110E">
    <w:pPr>
      <w:pStyle w:val="Header"/>
      <w:rPr>
        <w:rFonts w:ascii="Bookman Old Style" w:hAnsi="Bookman Old Style"/>
        <w:sz w:val="22"/>
      </w:rPr>
    </w:pPr>
    <w:r>
      <w:rPr>
        <w:rFonts w:ascii="Bookman Old Style" w:hAnsi="Bookman Old Style"/>
        <w:sz w:val="22"/>
      </w:rPr>
      <w:t>DK#21 0922</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428B0">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805BB"/>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74254"/>
    <w:rsid w:val="004758FD"/>
    <w:rsid w:val="004B0A1E"/>
    <w:rsid w:val="004C02D8"/>
    <w:rsid w:val="005043BD"/>
    <w:rsid w:val="005371EB"/>
    <w:rsid w:val="005A281D"/>
    <w:rsid w:val="005B132A"/>
    <w:rsid w:val="005F6DC8"/>
    <w:rsid w:val="0069638B"/>
    <w:rsid w:val="006F3750"/>
    <w:rsid w:val="00727627"/>
    <w:rsid w:val="0076154C"/>
    <w:rsid w:val="00774034"/>
    <w:rsid w:val="00837992"/>
    <w:rsid w:val="008B1CA2"/>
    <w:rsid w:val="0093110E"/>
    <w:rsid w:val="009420FE"/>
    <w:rsid w:val="00982189"/>
    <w:rsid w:val="009B1F20"/>
    <w:rsid w:val="00A428B0"/>
    <w:rsid w:val="00AB1E6B"/>
    <w:rsid w:val="00AE2E16"/>
    <w:rsid w:val="00AE32DF"/>
    <w:rsid w:val="00B34FDA"/>
    <w:rsid w:val="00B43251"/>
    <w:rsid w:val="00B4505E"/>
    <w:rsid w:val="00B554BF"/>
    <w:rsid w:val="00B60F65"/>
    <w:rsid w:val="00C239F0"/>
    <w:rsid w:val="00C47467"/>
    <w:rsid w:val="00C849DC"/>
    <w:rsid w:val="00CC29E5"/>
    <w:rsid w:val="00CD5DD8"/>
    <w:rsid w:val="00D025D4"/>
    <w:rsid w:val="00D829CE"/>
    <w:rsid w:val="00DD54FF"/>
    <w:rsid w:val="00E10768"/>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90F19"/>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 w:type="paragraph" w:styleId="BalloonText">
    <w:name w:val="Balloon Text"/>
    <w:basedOn w:val="Normal"/>
    <w:link w:val="BalloonTextChar"/>
    <w:uiPriority w:val="99"/>
    <w:semiHidden/>
    <w:unhideWhenUsed/>
    <w:rsid w:val="00A428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8B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C37A-9D8F-488C-8BB0-6B1A0B7A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12</TotalTime>
  <Pages>1</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7197</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4</cp:revision>
  <cp:lastPrinted>2021-07-06T20:14:00Z</cp:lastPrinted>
  <dcterms:created xsi:type="dcterms:W3CDTF">2021-07-06T20:03:00Z</dcterms:created>
  <dcterms:modified xsi:type="dcterms:W3CDTF">2021-07-06T20:15:00Z</dcterms:modified>
</cp:coreProperties>
</file>