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C03E8B"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-429260</wp:posOffset>
            </wp:positionV>
            <wp:extent cx="7453630" cy="1750060"/>
            <wp:effectExtent l="0" t="0" r="0" b="2540"/>
            <wp:wrapNone/>
            <wp:docPr id="3"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CC7012">
        <w:rPr>
          <w:rFonts w:ascii="Bookman Old Style" w:hAnsi="Bookman Old Style"/>
          <w:szCs w:val="24"/>
        </w:rPr>
        <w:t>21 1092</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CC7012">
        <w:rPr>
          <w:rFonts w:ascii="Bookman Old Style" w:hAnsi="Bookman Old Style"/>
          <w:szCs w:val="24"/>
        </w:rPr>
        <w:t>November 18, 2021</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89582F" w:rsidRDefault="00CC7012"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ILAISAANE WHELAN</w:t>
      </w:r>
    </w:p>
    <w:p w:rsidR="00AA745E" w:rsidRDefault="00AA745E"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304946">
        <w:rPr>
          <w:rFonts w:ascii="Bookman Old Style" w:hAnsi="Bookman Old Style"/>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1E4284">
        <w:rPr>
          <w:rFonts w:ascii="Bookman Old Style" w:hAnsi="Bookman Old Style"/>
          <w:b/>
          <w:szCs w:val="24"/>
        </w:rPr>
        <w:t>DETS</w:t>
      </w:r>
      <w:r w:rsidR="00E13AAA" w:rsidRPr="00304946">
        <w:rPr>
          <w:rFonts w:ascii="Bookman Old Style" w:hAnsi="Bookman Old Style"/>
          <w:b/>
          <w:szCs w:val="24"/>
        </w:rPr>
        <w:t xml:space="preserve"> APPEARANCES:</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Default="00CC7012"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Ilaisaane Whelan</w:t>
      </w:r>
      <w:r w:rsidR="00780095" w:rsidRPr="00304946">
        <w:rPr>
          <w:rFonts w:ascii="Bookman Old Style" w:hAnsi="Bookman Old Style"/>
          <w:szCs w:val="24"/>
        </w:rPr>
        <w:tab/>
      </w:r>
      <w:r>
        <w:rPr>
          <w:rFonts w:ascii="Bookman Old Style" w:hAnsi="Bookman Old Style"/>
          <w:szCs w:val="24"/>
        </w:rPr>
        <w:t>None</w:t>
      </w:r>
    </w:p>
    <w:p w:rsidR="0035179D" w:rsidRPr="00304946" w:rsidRDefault="00CC7012"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Don Whelan</w:t>
      </w: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611480" w:rsidRDefault="00611480" w:rsidP="00611480">
      <w:pPr>
        <w:tabs>
          <w:tab w:val="left" w:pos="-1440"/>
          <w:tab w:val="left" w:pos="-720"/>
        </w:tabs>
        <w:jc w:val="center"/>
        <w:rPr>
          <w:rFonts w:ascii="Bookman Old Style" w:hAnsi="Bookman Old Style"/>
          <w:b/>
          <w:snapToGrid/>
          <w:szCs w:val="24"/>
        </w:rPr>
      </w:pPr>
      <w:r>
        <w:rPr>
          <w:rFonts w:ascii="Bookman Old Style" w:hAnsi="Bookman Old Style"/>
          <w:b/>
          <w:szCs w:val="24"/>
        </w:rPr>
        <w:t>STATEMENT OF THE CASE</w:t>
      </w:r>
    </w:p>
    <w:p w:rsidR="0035179D" w:rsidRPr="00774034" w:rsidRDefault="0035179D" w:rsidP="0035179D">
      <w:pPr>
        <w:widowControl/>
        <w:tabs>
          <w:tab w:val="left" w:pos="-1440"/>
          <w:tab w:val="left" w:pos="-720"/>
          <w:tab w:val="left" w:pos="0"/>
          <w:tab w:val="left" w:pos="5760"/>
        </w:tabs>
        <w:suppressAutoHyphens/>
        <w:ind w:right="-360"/>
        <w:rPr>
          <w:rFonts w:ascii="Bookman Old Style" w:hAnsi="Bookman Old Style"/>
        </w:rPr>
      </w:pPr>
    </w:p>
    <w:p w:rsidR="0035179D" w:rsidRDefault="0035179D" w:rsidP="0035179D">
      <w:pPr>
        <w:tabs>
          <w:tab w:val="left" w:pos="-1440"/>
          <w:tab w:val="left" w:pos="-720"/>
        </w:tabs>
        <w:rPr>
          <w:rFonts w:ascii="Bookman Old Style" w:hAnsi="Bookman Old Style"/>
          <w:szCs w:val="24"/>
        </w:rPr>
      </w:pPr>
      <w:r>
        <w:rPr>
          <w:rFonts w:ascii="Bookman Old Style" w:hAnsi="Bookman Old Style"/>
        </w:rPr>
        <w:t>The claimant</w:t>
      </w:r>
      <w:r w:rsidRPr="00774034">
        <w:rPr>
          <w:rFonts w:ascii="Bookman Old Style" w:hAnsi="Bookman Old Style"/>
        </w:rPr>
        <w:t xml:space="preserve"> timely appealed </w:t>
      </w:r>
      <w:r w:rsidR="00173E7A">
        <w:rPr>
          <w:rFonts w:ascii="Bookman Old Style" w:hAnsi="Bookman Old Style"/>
        </w:rPr>
        <w:t>a</w:t>
      </w:r>
      <w:r>
        <w:rPr>
          <w:rFonts w:ascii="Bookman Old Style" w:hAnsi="Bookman Old Style"/>
        </w:rPr>
        <w:t xml:space="preserve"> </w:t>
      </w:r>
      <w:r w:rsidR="00CC7012">
        <w:rPr>
          <w:rFonts w:ascii="Bookman Old Style" w:hAnsi="Bookman Old Style"/>
          <w:szCs w:val="24"/>
        </w:rPr>
        <w:t>May 28, 2021</w:t>
      </w:r>
      <w:r>
        <w:rPr>
          <w:rFonts w:ascii="Bookman Old Style" w:hAnsi="Bookman Old Style"/>
          <w:szCs w:val="24"/>
        </w:rPr>
        <w:t xml:space="preserve"> </w:t>
      </w:r>
      <w:r w:rsidRPr="00774034">
        <w:rPr>
          <w:rFonts w:ascii="Bookman Old Style" w:hAnsi="Bookman Old Style"/>
        </w:rPr>
        <w:t>determination that denied benefits under AS 23.20.</w:t>
      </w:r>
      <w:r>
        <w:rPr>
          <w:rFonts w:ascii="Bookman Old Style" w:hAnsi="Bookman Old Style"/>
        </w:rPr>
        <w:t>406(b) and 409(3</w:t>
      </w:r>
      <w:r w:rsidR="003C1A97">
        <w:rPr>
          <w:rFonts w:ascii="Bookman Old Style" w:hAnsi="Bookman Old Style"/>
        </w:rPr>
        <w:t>)</w:t>
      </w:r>
      <w:r w:rsidRPr="00774034">
        <w:rPr>
          <w:rFonts w:ascii="Bookman Old Style" w:hAnsi="Bookman Old Style"/>
        </w:rPr>
        <w:t xml:space="preserve">. </w:t>
      </w:r>
      <w:r>
        <w:rPr>
          <w:rFonts w:ascii="Bookman Old Style" w:hAnsi="Bookman Old Style"/>
        </w:rPr>
        <w:t xml:space="preserve">The issue is whether the claimant met the definition of “exhaustee” in order to receive extended benefits for the weeks ending </w:t>
      </w:r>
      <w:r w:rsidR="00CC7012">
        <w:rPr>
          <w:rFonts w:ascii="Bookman Old Style" w:hAnsi="Bookman Old Style"/>
          <w:szCs w:val="24"/>
        </w:rPr>
        <w:t>April 10, 2021 through May 22, 2021</w:t>
      </w:r>
      <w:r>
        <w:rPr>
          <w:rFonts w:ascii="Bookman Old Style" w:hAnsi="Bookman Old Style"/>
          <w:szCs w:val="24"/>
        </w:rPr>
        <w:t>.</w:t>
      </w: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FINDINGS OF FACT</w:t>
      </w:r>
    </w:p>
    <w:p w:rsidR="0035179D" w:rsidRPr="00774034" w:rsidRDefault="0035179D" w:rsidP="0035179D">
      <w:pPr>
        <w:tabs>
          <w:tab w:val="left" w:pos="-1440"/>
          <w:tab w:val="left" w:pos="-720"/>
        </w:tabs>
        <w:rPr>
          <w:rFonts w:ascii="Bookman Old Style" w:hAnsi="Bookman Old Style"/>
        </w:rPr>
      </w:pPr>
    </w:p>
    <w:p w:rsidR="0035179D" w:rsidRDefault="00CC7012" w:rsidP="0035179D">
      <w:pPr>
        <w:tabs>
          <w:tab w:val="left" w:pos="-1440"/>
          <w:tab w:val="left" w:pos="-720"/>
        </w:tabs>
        <w:rPr>
          <w:rFonts w:ascii="Bookman Old Style" w:hAnsi="Bookman Old Style"/>
          <w:szCs w:val="24"/>
        </w:rPr>
      </w:pPr>
      <w:r>
        <w:rPr>
          <w:rFonts w:ascii="Bookman Old Style" w:hAnsi="Bookman Old Style"/>
          <w:szCs w:val="24"/>
        </w:rPr>
        <w:t xml:space="preserve">The claimant established a benefit year effective April 5, 2020. On March 16, 2021, the Division of Employment and Training Services sent the claimant a notice that advised the claimant that her benefit year was about to end and that she would be required to file a new claim after April 3, 2021. The notice also advised of the extension of </w:t>
      </w:r>
      <w:r w:rsidR="0026371B">
        <w:rPr>
          <w:rFonts w:ascii="Bookman Old Style" w:hAnsi="Bookman Old Style"/>
          <w:szCs w:val="24"/>
        </w:rPr>
        <w:t xml:space="preserve">multiple programs in </w:t>
      </w:r>
      <w:r>
        <w:rPr>
          <w:rFonts w:ascii="Bookman Old Style" w:hAnsi="Bookman Old Style"/>
          <w:szCs w:val="24"/>
        </w:rPr>
        <w:t>pandemic benefits</w:t>
      </w:r>
      <w:r w:rsidR="0026371B">
        <w:rPr>
          <w:rFonts w:ascii="Bookman Old Style" w:hAnsi="Bookman Old Style"/>
          <w:szCs w:val="24"/>
        </w:rPr>
        <w:t>.</w:t>
      </w:r>
    </w:p>
    <w:p w:rsidR="0026371B" w:rsidRDefault="0026371B" w:rsidP="0035179D">
      <w:pPr>
        <w:tabs>
          <w:tab w:val="left" w:pos="-1440"/>
          <w:tab w:val="left" w:pos="-720"/>
        </w:tabs>
        <w:rPr>
          <w:rFonts w:ascii="Bookman Old Style" w:hAnsi="Bookman Old Style"/>
          <w:szCs w:val="24"/>
        </w:rPr>
      </w:pPr>
    </w:p>
    <w:p w:rsidR="0026371B" w:rsidRDefault="0026371B" w:rsidP="0035179D">
      <w:pPr>
        <w:tabs>
          <w:tab w:val="left" w:pos="-1440"/>
          <w:tab w:val="left" w:pos="-720"/>
        </w:tabs>
        <w:rPr>
          <w:rFonts w:ascii="Bookman Old Style" w:hAnsi="Bookman Old Style"/>
          <w:szCs w:val="24"/>
        </w:rPr>
      </w:pPr>
      <w:r>
        <w:rPr>
          <w:rFonts w:ascii="Bookman Old Style" w:hAnsi="Bookman Old Style"/>
          <w:szCs w:val="24"/>
        </w:rPr>
        <w:t>The claimant began attempting to reach the Division by telephone on April 5, 2021. The claimant has records of 158 attempts to reach the Division by telephone. The claimant would hear a message about the volume of calls and then be disconnected. On two occasions, the claimant was able to leave a call back number. The claimant did not receive a call back. The claimant was finally able to get through on May 27, 2021. A new claim was taken at that time.</w:t>
      </w: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PROVISIONS OF LAW</w:t>
      </w:r>
    </w:p>
    <w:p w:rsidR="0035179D" w:rsidRDefault="0035179D" w:rsidP="0035179D">
      <w:pPr>
        <w:rPr>
          <w:rFonts w:ascii="Bookman Old Style" w:hAnsi="Bookman Old Style"/>
          <w:b/>
          <w:szCs w:val="24"/>
        </w:rPr>
      </w:pPr>
    </w:p>
    <w:p w:rsidR="0035179D" w:rsidRPr="00011DC5" w:rsidRDefault="0035179D" w:rsidP="0035179D">
      <w:pPr>
        <w:rPr>
          <w:rFonts w:ascii="Bookman Old Style" w:hAnsi="Bookman Old Style"/>
          <w:szCs w:val="24"/>
        </w:rPr>
      </w:pPr>
      <w:r w:rsidRPr="00011DC5">
        <w:rPr>
          <w:rFonts w:ascii="Bookman Old Style" w:hAnsi="Bookman Old Style"/>
          <w:b/>
          <w:szCs w:val="24"/>
        </w:rPr>
        <w:t>AS 23.20.406</w:t>
      </w:r>
      <w:r w:rsidRPr="00011DC5">
        <w:rPr>
          <w:rFonts w:ascii="Bookman Old Style" w:hAnsi="Bookman Old Style"/>
          <w:szCs w:val="24"/>
        </w:rPr>
        <w:t xml:space="preserve">. </w:t>
      </w:r>
      <w:r w:rsidRPr="00437D78">
        <w:rPr>
          <w:rFonts w:ascii="Bookman Old Style" w:hAnsi="Bookman Old Style"/>
          <w:b/>
          <w:szCs w:val="24"/>
        </w:rPr>
        <w:t>Extended Benefits</w:t>
      </w:r>
      <w:r>
        <w:rPr>
          <w:rFonts w:ascii="Bookman Old Style" w:hAnsi="Bookman Old Style"/>
          <w:b/>
          <w:szCs w:val="24"/>
        </w:rPr>
        <w:t>.</w:t>
      </w:r>
    </w:p>
    <w:p w:rsidR="0035179D" w:rsidRPr="00726E9E" w:rsidRDefault="0035179D" w:rsidP="0035179D">
      <w:pPr>
        <w:rPr>
          <w:rFonts w:ascii="Bookman Old Style" w:hAnsi="Bookman Old Style"/>
          <w:szCs w:val="24"/>
        </w:rPr>
      </w:pPr>
    </w:p>
    <w:p w:rsidR="0035179D" w:rsidRPr="00726E9E" w:rsidRDefault="0035179D" w:rsidP="0035179D">
      <w:pPr>
        <w:pStyle w:val="BodyTextIndent2"/>
        <w:spacing w:line="240" w:lineRule="auto"/>
        <w:rPr>
          <w:rFonts w:ascii="Bookman Old Style" w:hAnsi="Bookman Old Style"/>
          <w:szCs w:val="24"/>
        </w:rPr>
      </w:pPr>
      <w:r w:rsidRPr="00726E9E">
        <w:rPr>
          <w:rFonts w:ascii="Bookman Old Style" w:hAnsi="Bookman Old Style"/>
          <w:szCs w:val="24"/>
        </w:rPr>
        <w:t xml:space="preserve">(a) </w:t>
      </w:r>
      <w:r w:rsidRPr="00726E9E">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 xml:space="preserve">Except when the result would be inconsistent with other provisions </w:t>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 xml:space="preserve">of this chapter, the provisions of this chapter, which apply to </w:t>
      </w:r>
      <w:r>
        <w:rPr>
          <w:rFonts w:ascii="Bookman Old Style" w:hAnsi="Bookman Old Style"/>
          <w:szCs w:val="24"/>
        </w:rPr>
        <w:tab/>
      </w:r>
      <w:r>
        <w:rPr>
          <w:rFonts w:ascii="Bookman Old Style" w:hAnsi="Bookman Old Style"/>
          <w:szCs w:val="24"/>
        </w:rPr>
        <w:tab/>
      </w:r>
      <w:r>
        <w:rPr>
          <w:rFonts w:ascii="Bookman Old Style" w:hAnsi="Bookman Old Style"/>
          <w:szCs w:val="24"/>
        </w:rPr>
        <w:lastRenderedPageBreak/>
        <w:tab/>
      </w:r>
      <w:r w:rsidR="00A04182">
        <w:rPr>
          <w:rFonts w:ascii="Bookman Old Style" w:hAnsi="Bookman Old Style"/>
          <w:szCs w:val="24"/>
        </w:rPr>
        <w:tab/>
      </w:r>
      <w:r w:rsidRPr="00726E9E">
        <w:rPr>
          <w:rFonts w:ascii="Bookman Old Style" w:hAnsi="Bookman Old Style"/>
          <w:szCs w:val="24"/>
        </w:rPr>
        <w:t xml:space="preserve">claims for or the payment of regular benefits apply to claims for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and the payment of extended benefits.</w:t>
      </w:r>
    </w:p>
    <w:p w:rsidR="0035179D" w:rsidRPr="00726E9E" w:rsidRDefault="0035179D" w:rsidP="0035179D">
      <w:pPr>
        <w:ind w:left="720"/>
        <w:rPr>
          <w:rFonts w:ascii="Bookman Old Style" w:hAnsi="Bookman Old Style"/>
          <w:szCs w:val="24"/>
        </w:rPr>
      </w:pPr>
    </w:p>
    <w:p w:rsidR="0035179D" w:rsidRPr="00726E9E" w:rsidRDefault="0035179D" w:rsidP="0035179D">
      <w:pPr>
        <w:pStyle w:val="BodyTextIndent2"/>
        <w:spacing w:line="240" w:lineRule="auto"/>
        <w:rPr>
          <w:rFonts w:ascii="Bookman Old Style" w:hAnsi="Bookman Old Style"/>
          <w:szCs w:val="24"/>
        </w:rPr>
      </w:pPr>
      <w:r w:rsidRPr="00726E9E">
        <w:rPr>
          <w:rFonts w:ascii="Bookman Old Style" w:hAnsi="Bookman Old Style"/>
          <w:szCs w:val="24"/>
        </w:rPr>
        <w:t xml:space="preserve">(b) </w:t>
      </w:r>
      <w:r w:rsidRPr="00726E9E">
        <w:rPr>
          <w:rFonts w:ascii="Bookman Old Style" w:hAnsi="Bookman Old Style"/>
          <w:szCs w:val="24"/>
        </w:rPr>
        <w:tab/>
        <w:t xml:space="preserve">An individual is eligible to receive extended benefits with respect to </w:t>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 xml:space="preserve">any week of unemployment in the individual's eligibility period if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the department finds that with respect to that week the individual</w:t>
      </w:r>
    </w:p>
    <w:p w:rsidR="0035179D" w:rsidRDefault="0035179D" w:rsidP="0035179D">
      <w:pPr>
        <w:pStyle w:val="BodyTextIndent3"/>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Pr="00726E9E">
        <w:rPr>
          <w:rFonts w:ascii="Bookman Old Style" w:hAnsi="Bookman Old Style"/>
          <w:sz w:val="24"/>
          <w:szCs w:val="24"/>
        </w:rPr>
        <w:t xml:space="preserve">(1)  </w:t>
      </w:r>
      <w:r w:rsidRPr="00726E9E">
        <w:rPr>
          <w:rFonts w:ascii="Bookman Old Style" w:hAnsi="Bookman Old Style"/>
          <w:sz w:val="24"/>
          <w:szCs w:val="24"/>
        </w:rPr>
        <w:tab/>
        <w:t>is an "exhaustee" as defined in AS 23.20.409 ; and</w:t>
      </w:r>
    </w:p>
    <w:p w:rsidR="0035179D" w:rsidRPr="00726E9E" w:rsidRDefault="0035179D" w:rsidP="0035179D">
      <w:pPr>
        <w:pStyle w:val="BodyTextIndent3"/>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Pr="00726E9E">
        <w:rPr>
          <w:rFonts w:ascii="Bookman Old Style" w:hAnsi="Bookman Old Style"/>
          <w:sz w:val="24"/>
          <w:szCs w:val="24"/>
        </w:rPr>
        <w:t xml:space="preserve">(2)  </w:t>
      </w:r>
      <w:r w:rsidRPr="00726E9E">
        <w:rPr>
          <w:rFonts w:ascii="Bookman Old Style" w:hAnsi="Bookman Old Style"/>
          <w:sz w:val="24"/>
          <w:szCs w:val="24"/>
        </w:rPr>
        <w:tab/>
        <w:t xml:space="preserve">has otherwise satisfied the requirements of this chapter for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A04182">
        <w:rPr>
          <w:rFonts w:ascii="Bookman Old Style" w:hAnsi="Bookman Old Style"/>
          <w:sz w:val="24"/>
          <w:szCs w:val="24"/>
        </w:rPr>
        <w:tab/>
      </w:r>
      <w:r w:rsidRPr="00726E9E">
        <w:rPr>
          <w:rFonts w:ascii="Bookman Old Style" w:hAnsi="Bookman Old Style"/>
          <w:sz w:val="24"/>
          <w:szCs w:val="24"/>
        </w:rPr>
        <w:t>the receipt of regular benefits.</w:t>
      </w:r>
    </w:p>
    <w:p w:rsidR="0035179D" w:rsidRDefault="0035179D" w:rsidP="0035179D"/>
    <w:p w:rsidR="0035179D" w:rsidRPr="00011DC5" w:rsidRDefault="0035179D" w:rsidP="0035179D">
      <w:pPr>
        <w:rPr>
          <w:rFonts w:ascii="Bookman Old Style" w:hAnsi="Bookman Old Style"/>
          <w:szCs w:val="24"/>
        </w:rPr>
      </w:pPr>
      <w:r>
        <w:rPr>
          <w:rFonts w:ascii="Bookman Old Style" w:hAnsi="Bookman Old Style"/>
          <w:b/>
          <w:szCs w:val="24"/>
        </w:rPr>
        <w:t>A</w:t>
      </w:r>
      <w:r w:rsidRPr="00011DC5">
        <w:rPr>
          <w:rFonts w:ascii="Bookman Old Style" w:hAnsi="Bookman Old Style"/>
          <w:b/>
          <w:szCs w:val="24"/>
        </w:rPr>
        <w:t>S 23.20.409</w:t>
      </w:r>
      <w:r w:rsidRPr="00011DC5">
        <w:rPr>
          <w:rFonts w:ascii="Bookman Old Style" w:hAnsi="Bookman Old Style"/>
          <w:szCs w:val="24"/>
        </w:rPr>
        <w:t xml:space="preserve">. </w:t>
      </w:r>
      <w:r w:rsidRPr="00437D78">
        <w:rPr>
          <w:rFonts w:ascii="Bookman Old Style" w:hAnsi="Bookman Old Style"/>
          <w:b/>
          <w:szCs w:val="24"/>
        </w:rPr>
        <w:t xml:space="preserve">Definitions </w:t>
      </w:r>
      <w:r>
        <w:rPr>
          <w:rFonts w:ascii="Bookman Old Style" w:hAnsi="Bookman Old Style"/>
          <w:b/>
          <w:szCs w:val="24"/>
        </w:rPr>
        <w:t>F</w:t>
      </w:r>
      <w:r w:rsidRPr="00437D78">
        <w:rPr>
          <w:rFonts w:ascii="Bookman Old Style" w:hAnsi="Bookman Old Style"/>
          <w:b/>
          <w:szCs w:val="24"/>
        </w:rPr>
        <w:t>or AS 23.20.406 - 23.20.409.</w:t>
      </w:r>
    </w:p>
    <w:p w:rsidR="0035179D" w:rsidRPr="00011DC5" w:rsidRDefault="0035179D" w:rsidP="0035179D">
      <w:pPr>
        <w:rPr>
          <w:rFonts w:ascii="Bookman Old Style" w:hAnsi="Bookman Old Style"/>
          <w:szCs w:val="24"/>
        </w:rPr>
      </w:pPr>
    </w:p>
    <w:p w:rsidR="0035179D" w:rsidRPr="00011DC5" w:rsidRDefault="0035179D" w:rsidP="0035179D">
      <w:pPr>
        <w:pStyle w:val="BodyTextIndent2"/>
        <w:spacing w:after="0" w:line="240" w:lineRule="auto"/>
        <w:ind w:firstLine="360"/>
        <w:rPr>
          <w:rFonts w:ascii="Bookman Old Style" w:hAnsi="Bookman Old Style"/>
          <w:szCs w:val="24"/>
        </w:rPr>
      </w:pPr>
      <w:r w:rsidRPr="00011DC5">
        <w:rPr>
          <w:rFonts w:ascii="Bookman Old Style" w:hAnsi="Bookman Old Style"/>
          <w:szCs w:val="24"/>
        </w:rPr>
        <w:t xml:space="preserve">(1)  </w:t>
      </w:r>
      <w:r>
        <w:rPr>
          <w:rFonts w:ascii="Bookman Old Style" w:hAnsi="Bookman Old Style"/>
          <w:szCs w:val="24"/>
        </w:rPr>
        <w:tab/>
      </w:r>
      <w:r w:rsidRPr="00011DC5">
        <w:rPr>
          <w:rFonts w:ascii="Bookman Old Style" w:hAnsi="Bookman Old Style"/>
          <w:szCs w:val="24"/>
        </w:rPr>
        <w:t xml:space="preserve">"applicable benefit year" means, with respect to an individual, the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current benefit year if, at the time an initial claim for extended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benefits is filed, the individual has an unexpired benefit year only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in the state against which the claim is filed, or, in any other case,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individual's most recent benefit year; the most recent benefit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year, for an individual who has unexpired benefit years in more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than one state when the initial claim for extended benefits is filed,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is the benefit year with the latest ending date or, if the benefit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years have the same ending date, the benefit year in which the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latest continued claim for regular compensation was filed;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extended benefits are not payable under this section unless the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"applicable benefit year" was a benefit year established under this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chapter;</w:t>
      </w:r>
    </w:p>
    <w:p w:rsidR="0035179D" w:rsidRPr="00011DC5" w:rsidRDefault="0035179D" w:rsidP="0035179D">
      <w:pPr>
        <w:pStyle w:val="BodyTextIndent2"/>
        <w:spacing w:after="0" w:line="240" w:lineRule="auto"/>
        <w:ind w:firstLine="360"/>
        <w:rPr>
          <w:rFonts w:ascii="Bookman Old Style" w:hAnsi="Bookman Old Style"/>
          <w:szCs w:val="24"/>
        </w:rPr>
      </w:pPr>
      <w:r w:rsidRPr="00011DC5">
        <w:rPr>
          <w:rFonts w:ascii="Bookman Old Style" w:hAnsi="Bookman Old Style"/>
          <w:szCs w:val="24"/>
        </w:rPr>
        <w:t xml:space="preserve">(2)  </w:t>
      </w:r>
      <w:r>
        <w:rPr>
          <w:rFonts w:ascii="Bookman Old Style" w:hAnsi="Bookman Old Style"/>
          <w:szCs w:val="24"/>
        </w:rPr>
        <w:tab/>
      </w:r>
      <w:r w:rsidRPr="00011DC5">
        <w:rPr>
          <w:rFonts w:ascii="Bookman Old Style" w:hAnsi="Bookman Old Style"/>
          <w:szCs w:val="24"/>
        </w:rPr>
        <w:t xml:space="preserve">"eligibility period" of an individual means the period consisting of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weeks in the individual's benefit year which begin in an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extended benefit period and, if the individual's benefit year ends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within the extended benefit period, any weeks thereafter which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begin in that period;</w:t>
      </w:r>
    </w:p>
    <w:p w:rsidR="0035179D" w:rsidRPr="00011DC5" w:rsidRDefault="0035179D" w:rsidP="0035179D">
      <w:pPr>
        <w:pStyle w:val="BodyTextIndent2"/>
        <w:spacing w:after="0" w:line="240" w:lineRule="auto"/>
        <w:ind w:firstLine="360"/>
        <w:rPr>
          <w:rFonts w:ascii="Bookman Old Style" w:hAnsi="Bookman Old Style"/>
          <w:szCs w:val="24"/>
        </w:rPr>
      </w:pPr>
      <w:r w:rsidRPr="00011DC5">
        <w:rPr>
          <w:rFonts w:ascii="Bookman Old Style" w:hAnsi="Bookman Old Style"/>
          <w:szCs w:val="24"/>
        </w:rPr>
        <w:t xml:space="preserve">(3)  </w:t>
      </w:r>
      <w:r>
        <w:rPr>
          <w:rFonts w:ascii="Bookman Old Style" w:hAnsi="Bookman Old Style"/>
          <w:szCs w:val="24"/>
        </w:rPr>
        <w:tab/>
      </w:r>
      <w:r w:rsidRPr="00011DC5">
        <w:rPr>
          <w:rFonts w:ascii="Bookman Old Style" w:hAnsi="Bookman Old Style"/>
          <w:szCs w:val="24"/>
        </w:rPr>
        <w:t xml:space="preserve">"exhaustee" means an individual who, with respect to any week of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unemployment in the individual's eligibility period, has no right to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unemployment benefits or allowances, as the case may be, under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Railroad Unemployment Insurance Act or under other federal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laws which are specified in regulations issued by the United States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Secretary of Labor and has not received and is not seeking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unemployment benefits under the unemployment compensation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law of Canada, but if the individual is seeking these benefits and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appropriate agency finally determines that the individual is not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entitled to benefits under that law the individual is considered an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exhaustee; and either</w:t>
      </w:r>
    </w:p>
    <w:p w:rsidR="0035179D" w:rsidRPr="00011DC5" w:rsidRDefault="0035179D" w:rsidP="0035179D">
      <w:pPr>
        <w:rPr>
          <w:rFonts w:ascii="Bookman Old Style" w:hAnsi="Bookman Old Style"/>
          <w:szCs w:val="24"/>
        </w:rPr>
      </w:pPr>
    </w:p>
    <w:p w:rsidR="0035179D" w:rsidRPr="00011DC5" w:rsidRDefault="0035179D" w:rsidP="0035179D">
      <w:pPr>
        <w:ind w:left="2160" w:hanging="720"/>
        <w:rPr>
          <w:rFonts w:ascii="Bookman Old Style" w:hAnsi="Bookman Old Style"/>
          <w:szCs w:val="24"/>
        </w:rPr>
      </w:pPr>
      <w:r w:rsidRPr="00011DC5">
        <w:rPr>
          <w:rFonts w:ascii="Bookman Old Style" w:hAnsi="Bookman Old Style"/>
          <w:szCs w:val="24"/>
        </w:rPr>
        <w:t xml:space="preserve">(A)   </w:t>
      </w:r>
      <w:r>
        <w:rPr>
          <w:rFonts w:ascii="Bookman Old Style" w:hAnsi="Bookman Old Style"/>
          <w:szCs w:val="24"/>
        </w:rPr>
        <w:tab/>
      </w:r>
      <w:r w:rsidRPr="00011DC5">
        <w:rPr>
          <w:rFonts w:ascii="Bookman Old Style" w:hAnsi="Bookman Old Style"/>
          <w:szCs w:val="24"/>
        </w:rPr>
        <w:t xml:space="preserve">has received, before that week of unemployment, all of the regular benefits that were available to the individual under this chapter or any other law, including dependents' allowances and benefits payable to federal civilian employees and ex-servicemen under 5 </w:t>
      </w:r>
      <w:r w:rsidRPr="00011DC5">
        <w:rPr>
          <w:rFonts w:ascii="Bookman Old Style" w:hAnsi="Bookman Old Style"/>
          <w:szCs w:val="24"/>
        </w:rPr>
        <w:lastRenderedPageBreak/>
        <w:t>U.S.C. 8501-8525, in the individual's current benefit year that includes that week; however, for the purposes of this paragraph, an individual is considered to have received all of the regular benefits that were available to the individual even though the individual may subsequently be determined to be entitled to added regular benefits as a result of a pending appeal with respect to wages in covered employment that were not considered in the original monetary determination to be in the individual's benefit year; or</w:t>
      </w:r>
    </w:p>
    <w:p w:rsidR="0035179D" w:rsidRPr="00011DC5" w:rsidRDefault="0035179D" w:rsidP="0035179D">
      <w:pPr>
        <w:ind w:left="2160" w:hanging="720"/>
        <w:rPr>
          <w:rFonts w:ascii="Bookman Old Style" w:hAnsi="Bookman Old Style"/>
          <w:szCs w:val="24"/>
        </w:rPr>
      </w:pPr>
      <w:r w:rsidRPr="00011DC5">
        <w:rPr>
          <w:rFonts w:ascii="Bookman Old Style" w:hAnsi="Bookman Old Style"/>
          <w:szCs w:val="24"/>
        </w:rPr>
        <w:t xml:space="preserve">(B)   </w:t>
      </w:r>
      <w:r>
        <w:rPr>
          <w:rFonts w:ascii="Bookman Old Style" w:hAnsi="Bookman Old Style"/>
          <w:szCs w:val="24"/>
        </w:rPr>
        <w:tab/>
      </w:r>
      <w:r w:rsidRPr="00011DC5">
        <w:rPr>
          <w:rFonts w:ascii="Bookman Old Style" w:hAnsi="Bookman Old Style"/>
          <w:szCs w:val="24"/>
        </w:rPr>
        <w:t>the individual's benefit year having expired before that week, has no or insufficient wages in covered employment on the basis of which the individual could establish a new benefit year that would include that week.</w:t>
      </w:r>
    </w:p>
    <w:p w:rsidR="0035179D" w:rsidRPr="00011DC5" w:rsidRDefault="0035179D" w:rsidP="0035179D">
      <w:pPr>
        <w:rPr>
          <w:rFonts w:ascii="Bookman Old Style" w:hAnsi="Bookman Old Style"/>
          <w:szCs w:val="24"/>
        </w:rPr>
      </w:pP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CONCLUSION</w:t>
      </w:r>
    </w:p>
    <w:p w:rsidR="0035179D" w:rsidRDefault="0035179D" w:rsidP="0035179D">
      <w:pPr>
        <w:tabs>
          <w:tab w:val="left" w:pos="-1440"/>
          <w:tab w:val="left" w:pos="-720"/>
        </w:tabs>
        <w:rPr>
          <w:rFonts w:ascii="Bookman Old Style" w:hAnsi="Bookman Old Style"/>
        </w:rPr>
      </w:pPr>
    </w:p>
    <w:p w:rsidR="00A04182" w:rsidRDefault="00A04182" w:rsidP="00A04182">
      <w:pPr>
        <w:tabs>
          <w:tab w:val="left" w:pos="-1440"/>
          <w:tab w:val="left" w:pos="-720"/>
        </w:tabs>
        <w:rPr>
          <w:rFonts w:ascii="Bookman Old Style" w:hAnsi="Bookman Old Style"/>
        </w:rPr>
      </w:pPr>
      <w:r>
        <w:rPr>
          <w:rFonts w:ascii="Bookman Old Style" w:hAnsi="Bookman Old Style"/>
        </w:rPr>
        <w:t xml:space="preserve">Under state and federal guidelines for extended benefits, a claimant must be tested for regular benefit eligibility at the end of each benefit year and/or the beginning of each new calendar quarter. The Division notified the claimant of the requirement to test for a new benefit year on </w:t>
      </w:r>
      <w:r w:rsidR="0026371B">
        <w:rPr>
          <w:rFonts w:ascii="Bookman Old Style" w:hAnsi="Bookman Old Style"/>
          <w:szCs w:val="24"/>
        </w:rPr>
        <w:t>March 16, 2021</w:t>
      </w:r>
      <w:r>
        <w:rPr>
          <w:rFonts w:ascii="Bookman Old Style" w:hAnsi="Bookman Old Style"/>
        </w:rPr>
        <w:t>.</w:t>
      </w:r>
    </w:p>
    <w:p w:rsidR="0035179D" w:rsidRDefault="0035179D" w:rsidP="0035179D">
      <w:pPr>
        <w:tabs>
          <w:tab w:val="left" w:pos="-1440"/>
          <w:tab w:val="left" w:pos="-720"/>
        </w:tabs>
        <w:rPr>
          <w:rFonts w:ascii="Bookman Old Style" w:hAnsi="Bookman Old Style"/>
        </w:rPr>
      </w:pPr>
    </w:p>
    <w:p w:rsidR="0035179D" w:rsidRDefault="0026371B" w:rsidP="0035179D">
      <w:pPr>
        <w:tabs>
          <w:tab w:val="left" w:pos="-1440"/>
          <w:tab w:val="left" w:pos="-720"/>
        </w:tabs>
        <w:rPr>
          <w:rFonts w:ascii="Bookman Old Style" w:hAnsi="Bookman Old Style"/>
          <w:szCs w:val="24"/>
        </w:rPr>
      </w:pPr>
      <w:r>
        <w:rPr>
          <w:rFonts w:ascii="Bookman Old Style" w:hAnsi="Bookman Old Style"/>
          <w:szCs w:val="24"/>
        </w:rPr>
        <w:t>The claimant began attempts to reach the Division beginning April 5, 2021. She continued calling through May 27, 2021 when she finally reached someone with the Division.</w:t>
      </w:r>
    </w:p>
    <w:p w:rsidR="0026371B" w:rsidRDefault="0026371B" w:rsidP="0035179D">
      <w:pPr>
        <w:tabs>
          <w:tab w:val="left" w:pos="-1440"/>
          <w:tab w:val="left" w:pos="-720"/>
        </w:tabs>
        <w:rPr>
          <w:rFonts w:ascii="Bookman Old Style" w:hAnsi="Bookman Old Style"/>
          <w:szCs w:val="24"/>
        </w:rPr>
      </w:pPr>
    </w:p>
    <w:p w:rsidR="006851E7" w:rsidRDefault="0026371B" w:rsidP="0026371B">
      <w:pPr>
        <w:pStyle w:val="NormalWeb"/>
        <w:tabs>
          <w:tab w:val="left" w:pos="1440"/>
        </w:tabs>
        <w:spacing w:before="0" w:beforeAutospacing="0" w:after="0" w:afterAutospacing="0"/>
        <w:ind w:left="1440" w:hanging="1440"/>
        <w:rPr>
          <w:rFonts w:ascii="Bookman Old Style" w:hAnsi="Bookman Old Style"/>
        </w:rPr>
      </w:pPr>
      <w:r>
        <w:rPr>
          <w:rFonts w:ascii="Bookman Old Style" w:hAnsi="Bookman Old Style"/>
        </w:rPr>
        <w:t>Regu</w:t>
      </w:r>
      <w:r w:rsidR="006851E7">
        <w:rPr>
          <w:rFonts w:ascii="Bookman Old Style" w:hAnsi="Bookman Old Style"/>
        </w:rPr>
        <w:t>lation 8 AAC 85.100(g) provides that a</w:t>
      </w:r>
      <w:r w:rsidRPr="005C2D05">
        <w:rPr>
          <w:rFonts w:ascii="Bookman Old Style" w:hAnsi="Bookman Old Style"/>
        </w:rPr>
        <w:t xml:space="preserve"> transitiona</w:t>
      </w:r>
      <w:r w:rsidR="006851E7">
        <w:rPr>
          <w:rFonts w:ascii="Bookman Old Style" w:hAnsi="Bookman Old Style"/>
        </w:rPr>
        <w:t>l claim, or any new claim filed</w:t>
      </w:r>
    </w:p>
    <w:p w:rsidR="006851E7" w:rsidRDefault="0026371B" w:rsidP="0026371B">
      <w:pPr>
        <w:pStyle w:val="NormalWeb"/>
        <w:tabs>
          <w:tab w:val="left" w:pos="1440"/>
        </w:tabs>
        <w:spacing w:before="0" w:beforeAutospacing="0" w:after="0" w:afterAutospacing="0"/>
        <w:ind w:left="1440" w:hanging="1440"/>
        <w:rPr>
          <w:rFonts w:ascii="Bookman Old Style" w:hAnsi="Bookman Old Style"/>
        </w:rPr>
      </w:pPr>
      <w:r w:rsidRPr="005C2D05">
        <w:rPr>
          <w:rFonts w:ascii="Bookman Old Style" w:hAnsi="Bookman Old Style"/>
        </w:rPr>
        <w:t xml:space="preserve">during a series of continued claims after the end of </w:t>
      </w:r>
      <w:r w:rsidR="006851E7">
        <w:rPr>
          <w:rFonts w:ascii="Bookman Old Style" w:hAnsi="Bookman Old Style"/>
        </w:rPr>
        <w:t>a benefit year, is effective on</w:t>
      </w:r>
    </w:p>
    <w:p w:rsidR="006851E7" w:rsidRDefault="0026371B" w:rsidP="0026371B">
      <w:pPr>
        <w:pStyle w:val="NormalWeb"/>
        <w:tabs>
          <w:tab w:val="left" w:pos="1440"/>
        </w:tabs>
        <w:spacing w:before="0" w:beforeAutospacing="0" w:after="0" w:afterAutospacing="0"/>
        <w:ind w:left="1440" w:hanging="1440"/>
        <w:rPr>
          <w:rFonts w:ascii="Bookman Old Style" w:hAnsi="Bookman Old Style"/>
        </w:rPr>
      </w:pPr>
      <w:r w:rsidRPr="005C2D05">
        <w:rPr>
          <w:rFonts w:ascii="Bookman Old Style" w:hAnsi="Bookman Old Style"/>
        </w:rPr>
        <w:t xml:space="preserve">Sunday of the week immediately following the end of the benefit year or </w:t>
      </w:r>
      <w:r w:rsidR="006851E7">
        <w:rPr>
          <w:rFonts w:ascii="Bookman Old Style" w:hAnsi="Bookman Old Style"/>
        </w:rPr>
        <w:t>the applicable</w:t>
      </w:r>
    </w:p>
    <w:p w:rsidR="006851E7" w:rsidRDefault="0026371B" w:rsidP="0026371B">
      <w:pPr>
        <w:pStyle w:val="NormalWeb"/>
        <w:tabs>
          <w:tab w:val="left" w:pos="1440"/>
        </w:tabs>
        <w:spacing w:before="0" w:beforeAutospacing="0" w:after="0" w:afterAutospacing="0"/>
        <w:ind w:left="1440" w:hanging="1440"/>
        <w:rPr>
          <w:rFonts w:ascii="Bookman Old Style" w:hAnsi="Bookman Old Style"/>
        </w:rPr>
      </w:pPr>
      <w:r w:rsidRPr="005C2D05">
        <w:rPr>
          <w:rFonts w:ascii="Bookman Old Style" w:hAnsi="Bookman Old Style"/>
        </w:rPr>
        <w:t>calendar quarter, if the claim is filed no later than seven</w:t>
      </w:r>
      <w:r w:rsidR="006851E7">
        <w:rPr>
          <w:rFonts w:ascii="Bookman Old Style" w:hAnsi="Bookman Old Style"/>
        </w:rPr>
        <w:t xml:space="preserve"> calendar days after the end of</w:t>
      </w:r>
    </w:p>
    <w:p w:rsidR="006851E7" w:rsidRDefault="0026371B" w:rsidP="0026371B">
      <w:pPr>
        <w:pStyle w:val="NormalWeb"/>
        <w:tabs>
          <w:tab w:val="left" w:pos="1440"/>
        </w:tabs>
        <w:spacing w:before="0" w:beforeAutospacing="0" w:after="0" w:afterAutospacing="0"/>
        <w:ind w:left="1440" w:hanging="1440"/>
        <w:rPr>
          <w:rFonts w:ascii="Bookman Old Style" w:hAnsi="Bookman Old Style"/>
        </w:rPr>
      </w:pPr>
      <w:r w:rsidRPr="005C2D05">
        <w:rPr>
          <w:rFonts w:ascii="Bookman Old Style" w:hAnsi="Bookman Old Style"/>
        </w:rPr>
        <w:t>the benefit year or applicable calendar quarter. The</w:t>
      </w:r>
      <w:r w:rsidR="006851E7">
        <w:rPr>
          <w:rFonts w:ascii="Bookman Old Style" w:hAnsi="Bookman Old Style"/>
        </w:rPr>
        <w:t xml:space="preserve"> director shall extend the time</w:t>
      </w:r>
    </w:p>
    <w:p w:rsidR="006851E7" w:rsidRDefault="0026371B" w:rsidP="0026371B">
      <w:pPr>
        <w:pStyle w:val="NormalWeb"/>
        <w:tabs>
          <w:tab w:val="left" w:pos="1440"/>
        </w:tabs>
        <w:spacing w:before="0" w:beforeAutospacing="0" w:after="0" w:afterAutospacing="0"/>
        <w:ind w:left="1440" w:hanging="1440"/>
        <w:rPr>
          <w:rFonts w:ascii="Bookman Old Style" w:hAnsi="Bookman Old Style"/>
        </w:rPr>
      </w:pPr>
      <w:r w:rsidRPr="005C2D05">
        <w:rPr>
          <w:rFonts w:ascii="Bookman Old Style" w:hAnsi="Bookman Old Style"/>
        </w:rPr>
        <w:t>allowed for filing the claim if the failure to file the claim earl</w:t>
      </w:r>
      <w:r w:rsidR="006851E7">
        <w:rPr>
          <w:rFonts w:ascii="Bookman Old Style" w:hAnsi="Bookman Old Style"/>
        </w:rPr>
        <w:t>ier was caused by an</w:t>
      </w:r>
    </w:p>
    <w:p w:rsidR="0026371B" w:rsidRDefault="0026371B" w:rsidP="0026371B">
      <w:pPr>
        <w:pStyle w:val="NormalWeb"/>
        <w:tabs>
          <w:tab w:val="left" w:pos="1440"/>
        </w:tabs>
        <w:spacing w:before="0" w:beforeAutospacing="0" w:after="0" w:afterAutospacing="0"/>
        <w:ind w:left="1440" w:hanging="1440"/>
        <w:rPr>
          <w:rFonts w:ascii="Bookman Old Style" w:hAnsi="Bookman Old Style"/>
        </w:rPr>
      </w:pPr>
      <w:r w:rsidRPr="005C2D05">
        <w:rPr>
          <w:rFonts w:ascii="Bookman Old Style" w:hAnsi="Bookman Old Style"/>
        </w:rPr>
        <w:t xml:space="preserve">oversight or error of the division. </w:t>
      </w:r>
    </w:p>
    <w:p w:rsidR="006851E7" w:rsidRDefault="006851E7" w:rsidP="0026371B">
      <w:pPr>
        <w:pStyle w:val="NormalWeb"/>
        <w:tabs>
          <w:tab w:val="left" w:pos="1440"/>
        </w:tabs>
        <w:spacing w:before="0" w:beforeAutospacing="0" w:after="0" w:afterAutospacing="0"/>
        <w:ind w:left="1440" w:hanging="1440"/>
        <w:rPr>
          <w:rFonts w:ascii="Bookman Old Style" w:hAnsi="Bookman Old Style"/>
        </w:rPr>
      </w:pPr>
    </w:p>
    <w:p w:rsidR="006851E7" w:rsidRDefault="006851E7" w:rsidP="0026371B">
      <w:pPr>
        <w:pStyle w:val="NormalWeb"/>
        <w:tabs>
          <w:tab w:val="left" w:pos="1440"/>
        </w:tabs>
        <w:spacing w:before="0" w:beforeAutospacing="0" w:after="0" w:afterAutospacing="0"/>
        <w:ind w:left="1440" w:hanging="1440"/>
        <w:rPr>
          <w:rFonts w:ascii="Bookman Old Style" w:hAnsi="Bookman Old Style"/>
        </w:rPr>
      </w:pPr>
      <w:r>
        <w:rPr>
          <w:rFonts w:ascii="Bookman Old Style" w:hAnsi="Bookman Old Style"/>
        </w:rPr>
        <w:t>Although it was beyond the Division’s ability to predict the pandemic and its resulting</w:t>
      </w:r>
    </w:p>
    <w:p w:rsidR="006851E7" w:rsidRDefault="006851E7" w:rsidP="0026371B">
      <w:pPr>
        <w:pStyle w:val="NormalWeb"/>
        <w:tabs>
          <w:tab w:val="left" w:pos="1440"/>
        </w:tabs>
        <w:spacing w:before="0" w:beforeAutospacing="0" w:after="0" w:afterAutospacing="0"/>
        <w:ind w:left="1440" w:hanging="1440"/>
        <w:rPr>
          <w:rFonts w:ascii="Bookman Old Style" w:hAnsi="Bookman Old Style"/>
        </w:rPr>
      </w:pPr>
      <w:r>
        <w:rPr>
          <w:rFonts w:ascii="Bookman Old Style" w:hAnsi="Bookman Old Style"/>
        </w:rPr>
        <w:t>issues created for the Division, the failure of the Division to provide sufficient</w:t>
      </w:r>
    </w:p>
    <w:p w:rsidR="006851E7" w:rsidRDefault="006851E7" w:rsidP="0026371B">
      <w:pPr>
        <w:pStyle w:val="NormalWeb"/>
        <w:tabs>
          <w:tab w:val="left" w:pos="1440"/>
        </w:tabs>
        <w:spacing w:before="0" w:beforeAutospacing="0" w:after="0" w:afterAutospacing="0"/>
        <w:ind w:left="1440" w:hanging="1440"/>
        <w:rPr>
          <w:rFonts w:ascii="Bookman Old Style" w:hAnsi="Bookman Old Style"/>
        </w:rPr>
      </w:pPr>
      <w:r>
        <w:rPr>
          <w:rFonts w:ascii="Bookman Old Style" w:hAnsi="Bookman Old Style"/>
        </w:rPr>
        <w:t xml:space="preserve">employees to answer the phones is an oversight of the Division. </w:t>
      </w:r>
    </w:p>
    <w:p w:rsidR="006851E7" w:rsidRDefault="006851E7" w:rsidP="0026371B">
      <w:pPr>
        <w:pStyle w:val="NormalWeb"/>
        <w:tabs>
          <w:tab w:val="left" w:pos="1440"/>
        </w:tabs>
        <w:spacing w:before="0" w:beforeAutospacing="0" w:after="0" w:afterAutospacing="0"/>
        <w:ind w:left="1440" w:hanging="1440"/>
        <w:rPr>
          <w:rFonts w:ascii="Bookman Old Style" w:hAnsi="Bookman Old Style"/>
        </w:rPr>
      </w:pPr>
    </w:p>
    <w:p w:rsidR="006851E7" w:rsidRDefault="006851E7" w:rsidP="0026371B">
      <w:pPr>
        <w:pStyle w:val="NormalWeb"/>
        <w:tabs>
          <w:tab w:val="left" w:pos="1440"/>
        </w:tabs>
        <w:spacing w:before="0" w:beforeAutospacing="0" w:after="0" w:afterAutospacing="0"/>
        <w:ind w:left="1440" w:hanging="1440"/>
        <w:rPr>
          <w:rFonts w:ascii="Bookman Old Style" w:hAnsi="Bookman Old Style"/>
        </w:rPr>
      </w:pPr>
      <w:r>
        <w:rPr>
          <w:rFonts w:ascii="Bookman Old Style" w:hAnsi="Bookman Old Style"/>
        </w:rPr>
        <w:t>Therefore, the effective date of the claimant’s new claim is backdated to the week in</w:t>
      </w:r>
    </w:p>
    <w:p w:rsidR="006851E7" w:rsidRPr="005C2D05" w:rsidRDefault="006851E7" w:rsidP="0026371B">
      <w:pPr>
        <w:pStyle w:val="NormalWeb"/>
        <w:tabs>
          <w:tab w:val="left" w:pos="1440"/>
        </w:tabs>
        <w:spacing w:before="0" w:beforeAutospacing="0" w:after="0" w:afterAutospacing="0"/>
        <w:ind w:left="1440" w:hanging="1440"/>
        <w:rPr>
          <w:rFonts w:ascii="Bookman Old Style" w:hAnsi="Bookman Old Style"/>
        </w:rPr>
      </w:pPr>
      <w:r>
        <w:rPr>
          <w:rFonts w:ascii="Bookman Old Style" w:hAnsi="Bookman Old Style"/>
        </w:rPr>
        <w:t>which she first attempted to file her new claim, April 4, 2021.</w:t>
      </w:r>
    </w:p>
    <w:p w:rsidR="0035179D" w:rsidRPr="0035179D" w:rsidRDefault="006851E7" w:rsidP="006851E7">
      <w:pPr>
        <w:pStyle w:val="Heading4"/>
        <w:ind w:left="3600" w:firstLine="720"/>
        <w:rPr>
          <w:rFonts w:ascii="Bookman Old Style" w:hAnsi="Bookman Old Style"/>
          <w:i w:val="0"/>
          <w:color w:val="auto"/>
        </w:rPr>
      </w:pPr>
      <w:r>
        <w:rPr>
          <w:rFonts w:ascii="Bookman Old Style" w:hAnsi="Bookman Old Style"/>
          <w:i w:val="0"/>
          <w:color w:val="auto"/>
        </w:rPr>
        <w:t>D</w:t>
      </w:r>
      <w:r w:rsidR="0035179D" w:rsidRPr="0035179D">
        <w:rPr>
          <w:rFonts w:ascii="Bookman Old Style" w:hAnsi="Bookman Old Style"/>
          <w:i w:val="0"/>
          <w:color w:val="auto"/>
        </w:rPr>
        <w:t>ECISION</w:t>
      </w:r>
    </w:p>
    <w:p w:rsidR="0035179D" w:rsidRPr="00774034" w:rsidRDefault="0035179D" w:rsidP="0035179D">
      <w:pPr>
        <w:tabs>
          <w:tab w:val="left" w:pos="-1440"/>
          <w:tab w:val="left" w:pos="-720"/>
        </w:tabs>
        <w:rPr>
          <w:rFonts w:ascii="Bookman Old Style" w:hAnsi="Bookman Old Style"/>
        </w:rPr>
      </w:pPr>
    </w:p>
    <w:p w:rsidR="0035179D" w:rsidRPr="00A04182" w:rsidRDefault="0035179D" w:rsidP="0035179D">
      <w:pPr>
        <w:tabs>
          <w:tab w:val="left" w:pos="-1440"/>
          <w:tab w:val="left" w:pos="-720"/>
        </w:tabs>
        <w:rPr>
          <w:rFonts w:ascii="Bookman Old Style" w:hAnsi="Bookman Old Style"/>
          <w:szCs w:val="24"/>
        </w:rPr>
      </w:pPr>
      <w:r w:rsidRPr="00774034">
        <w:rPr>
          <w:rFonts w:ascii="Bookman Old Style" w:hAnsi="Bookman Old Style"/>
        </w:rPr>
        <w:t xml:space="preserve">The determination issued on </w:t>
      </w:r>
      <w:r w:rsidR="006851E7">
        <w:rPr>
          <w:rFonts w:ascii="Bookman Old Style" w:hAnsi="Bookman Old Style"/>
          <w:szCs w:val="24"/>
        </w:rPr>
        <w:t>May 28, 2021</w:t>
      </w:r>
      <w:r>
        <w:rPr>
          <w:rFonts w:ascii="Bookman Old Style" w:hAnsi="Bookman Old Style"/>
        </w:rPr>
        <w:t xml:space="preserve"> </w:t>
      </w:r>
      <w:r w:rsidR="00A04182">
        <w:rPr>
          <w:rFonts w:ascii="Bookman Old Style" w:hAnsi="Bookman Old Style"/>
        </w:rPr>
        <w:t>is</w:t>
      </w:r>
      <w:r>
        <w:rPr>
          <w:rFonts w:ascii="Bookman Old Style" w:hAnsi="Bookman Old Style"/>
        </w:rPr>
        <w:t xml:space="preserve"> </w:t>
      </w:r>
      <w:r w:rsidR="006851E7" w:rsidRPr="006851E7">
        <w:rPr>
          <w:rFonts w:ascii="Bookman Old Style" w:hAnsi="Bookman Old Style"/>
          <w:b/>
          <w:szCs w:val="24"/>
        </w:rPr>
        <w:t>REVERSED</w:t>
      </w:r>
      <w:r w:rsidRPr="00774034">
        <w:rPr>
          <w:rFonts w:ascii="Bookman Old Style" w:hAnsi="Bookman Old Style"/>
        </w:rPr>
        <w:t xml:space="preserve">. Benefits are </w:t>
      </w:r>
      <w:r w:rsidR="006851E7">
        <w:rPr>
          <w:rFonts w:ascii="Bookman Old Style" w:hAnsi="Bookman Old Style"/>
          <w:szCs w:val="24"/>
        </w:rPr>
        <w:t>allowed</w:t>
      </w:r>
      <w:r w:rsidRPr="00774034">
        <w:rPr>
          <w:rFonts w:ascii="Bookman Old Style" w:hAnsi="Bookman Old Style"/>
        </w:rPr>
        <w:t xml:space="preserve"> for the weeks ending </w:t>
      </w:r>
      <w:r w:rsidR="006851E7">
        <w:rPr>
          <w:rFonts w:ascii="Bookman Old Style" w:hAnsi="Bookman Old Style"/>
          <w:szCs w:val="24"/>
        </w:rPr>
        <w:t>April 10, 2021</w:t>
      </w:r>
      <w:r w:rsidRPr="00774034">
        <w:rPr>
          <w:rFonts w:ascii="Bookman Old Style" w:hAnsi="Bookman Old Style"/>
        </w:rPr>
        <w:t xml:space="preserve"> through </w:t>
      </w:r>
      <w:r w:rsidR="006851E7">
        <w:rPr>
          <w:rFonts w:ascii="Bookman Old Style" w:hAnsi="Bookman Old Style"/>
          <w:szCs w:val="24"/>
        </w:rPr>
        <w:t>May 22, 2021</w:t>
      </w:r>
      <w:r w:rsidRPr="00774034">
        <w:rPr>
          <w:rFonts w:ascii="Bookman Old Style" w:hAnsi="Bookman Old Style"/>
        </w:rPr>
        <w:t>.</w:t>
      </w:r>
    </w:p>
    <w:p w:rsidR="0035179D" w:rsidRDefault="0035179D" w:rsidP="0035179D">
      <w:pPr>
        <w:tabs>
          <w:tab w:val="left" w:pos="-1440"/>
          <w:tab w:val="left" w:pos="-720"/>
        </w:tabs>
        <w:rPr>
          <w:rFonts w:ascii="Bookman Old Style" w:hAnsi="Bookman Old Style"/>
        </w:rPr>
      </w:pPr>
    </w:p>
    <w:p w:rsidR="006851E7" w:rsidRDefault="006851E7" w:rsidP="0035179D">
      <w:pPr>
        <w:tabs>
          <w:tab w:val="left" w:pos="-1440"/>
          <w:tab w:val="left" w:pos="-720"/>
        </w:tabs>
        <w:rPr>
          <w:rFonts w:ascii="Bookman Old Style" w:hAnsi="Bookman Old Style"/>
        </w:rPr>
      </w:pPr>
    </w:p>
    <w:p w:rsidR="006851E7" w:rsidRDefault="006851E7" w:rsidP="0035179D">
      <w:pPr>
        <w:tabs>
          <w:tab w:val="left" w:pos="-1440"/>
          <w:tab w:val="left" w:pos="-720"/>
        </w:tabs>
        <w:rPr>
          <w:rFonts w:ascii="Bookman Old Style" w:hAnsi="Bookman Old Style"/>
        </w:rPr>
      </w:pPr>
    </w:p>
    <w:p w:rsidR="006851E7" w:rsidRDefault="006851E7" w:rsidP="0035179D">
      <w:pPr>
        <w:tabs>
          <w:tab w:val="left" w:pos="-1440"/>
          <w:tab w:val="left" w:pos="-720"/>
        </w:tabs>
        <w:rPr>
          <w:rFonts w:ascii="Bookman Old Style" w:hAnsi="Bookman Old Style"/>
        </w:rPr>
      </w:pPr>
    </w:p>
    <w:p w:rsidR="0035179D" w:rsidRPr="0035179D" w:rsidRDefault="0089582F" w:rsidP="0035179D">
      <w:pPr>
        <w:pStyle w:val="Heading4"/>
        <w:jc w:val="center"/>
        <w:rPr>
          <w:rFonts w:ascii="Bookman Old Style" w:hAnsi="Bookman Old Style"/>
          <w:i w:val="0"/>
          <w:color w:val="auto"/>
        </w:rPr>
      </w:pPr>
      <w:r>
        <w:rPr>
          <w:rFonts w:ascii="Bookman Old Style" w:hAnsi="Bookman Old Style"/>
          <w:i w:val="0"/>
          <w:color w:val="auto"/>
        </w:rPr>
        <w:lastRenderedPageBreak/>
        <w:t>A</w:t>
      </w:r>
      <w:r w:rsidR="0035179D" w:rsidRPr="0035179D">
        <w:rPr>
          <w:rFonts w:ascii="Bookman Old Style" w:hAnsi="Bookman Old Style"/>
          <w:i w:val="0"/>
          <w:color w:val="auto"/>
        </w:rPr>
        <w:t>PPEAL RIGHTS</w:t>
      </w:r>
    </w:p>
    <w:p w:rsidR="0035179D" w:rsidRPr="00774034" w:rsidRDefault="0035179D" w:rsidP="0035179D">
      <w:pPr>
        <w:tabs>
          <w:tab w:val="left" w:pos="-1440"/>
          <w:tab w:val="left" w:pos="-720"/>
        </w:tabs>
        <w:rPr>
          <w:rFonts w:ascii="Bookman Old Style" w:hAnsi="Bookman Old Style"/>
        </w:rPr>
      </w:pPr>
    </w:p>
    <w:p w:rsidR="0035179D" w:rsidRDefault="0035179D" w:rsidP="0035179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Pr>
          <w:rFonts w:ascii="Bookman Old Style" w:hAnsi="Bookman Old Style"/>
        </w:rPr>
        <w:t xml:space="preserve"> </w:t>
      </w:r>
      <w:r w:rsidRPr="00774034">
        <w:rPr>
          <w:rFonts w:ascii="Bookman Old Style" w:hAnsi="Bookman Old Style"/>
        </w:rPr>
        <w:t>Commissioner of Labor and Workforce Development within 30 days after the decision is mailed to each party. The appeal period may be extended only if the appeal is delayed for circumstances beyond the party's control. A statement of appeal rights and procedures is enclosed.</w:t>
      </w:r>
    </w:p>
    <w:p w:rsidR="00A04182" w:rsidRDefault="00A04182" w:rsidP="0035179D">
      <w:pPr>
        <w:tabs>
          <w:tab w:val="left" w:pos="-1440"/>
          <w:tab w:val="left" w:pos="-720"/>
        </w:tabs>
        <w:rPr>
          <w:rFonts w:ascii="Bookman Old Style" w:hAnsi="Bookman Old Style"/>
        </w:rPr>
      </w:pPr>
    </w:p>
    <w:p w:rsidR="00A04182" w:rsidRPr="00774034" w:rsidRDefault="00A04182" w:rsidP="0035179D">
      <w:pPr>
        <w:tabs>
          <w:tab w:val="left" w:pos="-1440"/>
          <w:tab w:val="left" w:pos="-720"/>
        </w:tabs>
        <w:rPr>
          <w:rFonts w:ascii="Bookman Old Style" w:hAnsi="Bookman Old Style"/>
        </w:rPr>
      </w:pPr>
    </w:p>
    <w:p w:rsidR="00611480" w:rsidRDefault="00611480" w:rsidP="00611480">
      <w:pPr>
        <w:suppressAutoHyphens/>
        <w:rPr>
          <w:rFonts w:ascii="Bookman Old Style" w:hAnsi="Bookman Old Style"/>
          <w:spacing w:val="-3"/>
          <w:szCs w:val="24"/>
        </w:rPr>
      </w:pPr>
      <w:r>
        <w:rPr>
          <w:rFonts w:ascii="Bookman Old Style" w:hAnsi="Bookman Old Style"/>
          <w:spacing w:val="-3"/>
          <w:szCs w:val="24"/>
        </w:rPr>
        <w:t xml:space="preserve">Dated and mailed on </w:t>
      </w:r>
      <w:r w:rsidR="006851E7">
        <w:rPr>
          <w:rFonts w:ascii="Bookman Old Style" w:hAnsi="Bookman Old Style"/>
          <w:szCs w:val="24"/>
        </w:rPr>
        <w:t>Tom Mize</w:t>
      </w:r>
      <w:r>
        <w:rPr>
          <w:rFonts w:ascii="Bookman Old Style" w:hAnsi="Bookman Old Style"/>
          <w:spacing w:val="-3"/>
          <w:szCs w:val="24"/>
        </w:rPr>
        <w:t>.</w:t>
      </w:r>
    </w:p>
    <w:p w:rsidR="00611480" w:rsidRDefault="00611480" w:rsidP="00611480">
      <w:pPr>
        <w:suppressAutoHyphens/>
        <w:rPr>
          <w:rFonts w:ascii="Bookman Old Style" w:hAnsi="Bookman Old Style"/>
          <w:spacing w:val="-3"/>
          <w:szCs w:val="24"/>
        </w:rPr>
      </w:pPr>
    </w:p>
    <w:p w:rsidR="00611480" w:rsidRDefault="00611480" w:rsidP="00611480">
      <w:pPr>
        <w:suppressAutoHyphens/>
        <w:rPr>
          <w:rFonts w:ascii="Bookman Old Style" w:hAnsi="Bookman Old Style"/>
          <w:spacing w:val="-3"/>
          <w:szCs w:val="24"/>
        </w:rPr>
      </w:pPr>
    </w:p>
    <w:p w:rsidR="00611480" w:rsidRDefault="00611480" w:rsidP="00611480">
      <w:pPr>
        <w:suppressAutoHyphens/>
        <w:rPr>
          <w:rFonts w:ascii="Bookman Old Style" w:hAnsi="Bookman Old Style"/>
          <w:spacing w:val="-3"/>
          <w:szCs w:val="24"/>
        </w:rPr>
      </w:pPr>
    </w:p>
    <w:p w:rsidR="00611480" w:rsidRDefault="00611480" w:rsidP="00611480">
      <w:pPr>
        <w:pStyle w:val="EndnoteText"/>
        <w:tabs>
          <w:tab w:val="left" w:pos="5400"/>
        </w:tabs>
        <w:suppressAutoHyphens/>
        <w:rPr>
          <w:rFonts w:ascii="Bookman Old Style" w:hAnsi="Bookman Old Style"/>
          <w:spacing w:val="-3"/>
          <w:szCs w:val="24"/>
        </w:rPr>
      </w:pPr>
      <w:r>
        <w:rPr>
          <w:rFonts w:ascii="Bookman Old Style" w:hAnsi="Bookman Old Style"/>
          <w:spacing w:val="-3"/>
          <w:szCs w:val="24"/>
        </w:rPr>
        <w:tab/>
        <w:t>Tom Mize</w:t>
      </w:r>
    </w:p>
    <w:p w:rsidR="00611480" w:rsidRDefault="00611480" w:rsidP="00611480">
      <w:pPr>
        <w:tabs>
          <w:tab w:val="left" w:pos="5400"/>
        </w:tabs>
        <w:suppressAutoHyphens/>
        <w:rPr>
          <w:rFonts w:ascii="Bookman Old Style" w:hAnsi="Bookman Old Style"/>
          <w:spacing w:val="-3"/>
          <w:szCs w:val="24"/>
        </w:rPr>
      </w:pPr>
      <w:r>
        <w:rPr>
          <w:rFonts w:ascii="Bookman Old Style" w:hAnsi="Bookman Old Style"/>
          <w:spacing w:val="-3"/>
          <w:szCs w:val="24"/>
        </w:rPr>
        <w:tab/>
        <w:t>Hearing Officer</w:t>
      </w:r>
    </w:p>
    <w:p w:rsidR="00780095" w:rsidRPr="0046604B" w:rsidRDefault="00780095" w:rsidP="00611480">
      <w:pPr>
        <w:pStyle w:val="Heading4"/>
        <w:spacing w:before="0"/>
        <w:jc w:val="center"/>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DF4" w:rsidRDefault="004D7DF4">
      <w:pPr>
        <w:widowControl/>
        <w:spacing w:line="20" w:lineRule="exact"/>
      </w:pPr>
    </w:p>
  </w:endnote>
  <w:endnote w:type="continuationSeparator" w:id="0">
    <w:p w:rsidR="004D7DF4" w:rsidRDefault="004D7DF4">
      <w:r>
        <w:t xml:space="preserve"> </w:t>
      </w:r>
    </w:p>
  </w:endnote>
  <w:endnote w:type="continuationNotice" w:id="1">
    <w:p w:rsidR="004D7DF4" w:rsidRDefault="004D7DF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DF4" w:rsidRDefault="004D7DF4">
      <w:r>
        <w:separator/>
      </w:r>
    </w:p>
  </w:footnote>
  <w:footnote w:type="continuationSeparator" w:id="0">
    <w:p w:rsidR="004D7DF4" w:rsidRDefault="004D7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4F" w:rsidRDefault="0026371B">
    <w:pPr>
      <w:pStyle w:val="Header"/>
      <w:rPr>
        <w:rFonts w:ascii="Bookman Old Style" w:hAnsi="Bookman Old Style"/>
        <w:sz w:val="22"/>
      </w:rPr>
    </w:pPr>
    <w:r>
      <w:rPr>
        <w:rFonts w:ascii="Bookman Old Style" w:hAnsi="Bookman Old Style"/>
        <w:sz w:val="22"/>
      </w:rPr>
      <w:t>DK# 21 1092</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AA745E">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36150582"/>
    <w:multiLevelType w:val="hybridMultilevel"/>
    <w:tmpl w:val="2AD0CBD6"/>
    <w:lvl w:ilvl="0" w:tplc="DDE2C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1F0093"/>
    <w:multiLevelType w:val="hybridMultilevel"/>
    <w:tmpl w:val="48A664D6"/>
    <w:lvl w:ilvl="0" w:tplc="2D7690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2B24F0C"/>
    <w:multiLevelType w:val="hybridMultilevel"/>
    <w:tmpl w:val="2BAEFBBC"/>
    <w:lvl w:ilvl="0" w:tplc="595238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8B414B2"/>
    <w:multiLevelType w:val="hybridMultilevel"/>
    <w:tmpl w:val="251875AA"/>
    <w:lvl w:ilvl="0" w:tplc="7CCE593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6BD63FAD"/>
    <w:multiLevelType w:val="hybridMultilevel"/>
    <w:tmpl w:val="DE224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6"/>
  </w:num>
  <w:num w:numId="2">
    <w:abstractNumId w:val="0"/>
  </w:num>
  <w:num w:numId="3">
    <w:abstractNumId w:val="5"/>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8B"/>
    <w:rsid w:val="00001E6A"/>
    <w:rsid w:val="00034258"/>
    <w:rsid w:val="0007021A"/>
    <w:rsid w:val="00087A38"/>
    <w:rsid w:val="000B3C03"/>
    <w:rsid w:val="000C07A1"/>
    <w:rsid w:val="000E242A"/>
    <w:rsid w:val="000E7714"/>
    <w:rsid w:val="001249C2"/>
    <w:rsid w:val="00152606"/>
    <w:rsid w:val="00171C06"/>
    <w:rsid w:val="00173E7A"/>
    <w:rsid w:val="001E4284"/>
    <w:rsid w:val="001E5A34"/>
    <w:rsid w:val="001F6B5B"/>
    <w:rsid w:val="0026371B"/>
    <w:rsid w:val="00280EFF"/>
    <w:rsid w:val="002A1EF1"/>
    <w:rsid w:val="002D7F1A"/>
    <w:rsid w:val="00304946"/>
    <w:rsid w:val="00324065"/>
    <w:rsid w:val="003328FE"/>
    <w:rsid w:val="00341E3C"/>
    <w:rsid w:val="00347206"/>
    <w:rsid w:val="0035179D"/>
    <w:rsid w:val="00382259"/>
    <w:rsid w:val="003C1A97"/>
    <w:rsid w:val="0046604B"/>
    <w:rsid w:val="00476DC4"/>
    <w:rsid w:val="004D05FC"/>
    <w:rsid w:val="004D7DF4"/>
    <w:rsid w:val="004E01C7"/>
    <w:rsid w:val="004F3BD6"/>
    <w:rsid w:val="004F7405"/>
    <w:rsid w:val="00591E67"/>
    <w:rsid w:val="00591FFA"/>
    <w:rsid w:val="005A674B"/>
    <w:rsid w:val="005B1683"/>
    <w:rsid w:val="005E0966"/>
    <w:rsid w:val="005E53D0"/>
    <w:rsid w:val="00611480"/>
    <w:rsid w:val="00682FEC"/>
    <w:rsid w:val="006851E7"/>
    <w:rsid w:val="006C67EA"/>
    <w:rsid w:val="00703025"/>
    <w:rsid w:val="0070737C"/>
    <w:rsid w:val="00713867"/>
    <w:rsid w:val="00746072"/>
    <w:rsid w:val="00753FBA"/>
    <w:rsid w:val="00780095"/>
    <w:rsid w:val="00782350"/>
    <w:rsid w:val="0078796F"/>
    <w:rsid w:val="007B0839"/>
    <w:rsid w:val="008034CB"/>
    <w:rsid w:val="00812C65"/>
    <w:rsid w:val="00824A4C"/>
    <w:rsid w:val="00871694"/>
    <w:rsid w:val="00890A0D"/>
    <w:rsid w:val="0089582F"/>
    <w:rsid w:val="00897129"/>
    <w:rsid w:val="008A3E67"/>
    <w:rsid w:val="008A7C3E"/>
    <w:rsid w:val="008E3C9F"/>
    <w:rsid w:val="0090239B"/>
    <w:rsid w:val="009842BF"/>
    <w:rsid w:val="00992D3A"/>
    <w:rsid w:val="009F1763"/>
    <w:rsid w:val="00A04182"/>
    <w:rsid w:val="00A158AF"/>
    <w:rsid w:val="00A91EDD"/>
    <w:rsid w:val="00AA745E"/>
    <w:rsid w:val="00AB39A5"/>
    <w:rsid w:val="00AD5027"/>
    <w:rsid w:val="00AE37DC"/>
    <w:rsid w:val="00AE39CC"/>
    <w:rsid w:val="00B6422F"/>
    <w:rsid w:val="00B72674"/>
    <w:rsid w:val="00BB5A6F"/>
    <w:rsid w:val="00BC45C9"/>
    <w:rsid w:val="00BD0E1F"/>
    <w:rsid w:val="00BD2E24"/>
    <w:rsid w:val="00C03E8B"/>
    <w:rsid w:val="00C56D4F"/>
    <w:rsid w:val="00CC7012"/>
    <w:rsid w:val="00DC68B2"/>
    <w:rsid w:val="00E13AAA"/>
    <w:rsid w:val="00E2668C"/>
    <w:rsid w:val="00E95F25"/>
    <w:rsid w:val="00EA2CC6"/>
    <w:rsid w:val="00EB4EAF"/>
    <w:rsid w:val="00F06561"/>
    <w:rsid w:val="00F14B4F"/>
    <w:rsid w:val="00F15EFB"/>
    <w:rsid w:val="00F82055"/>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46757"/>
  <w15:chartTrackingRefBased/>
  <w15:docId w15:val="{B738F8AF-070F-4618-9400-F008009A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rsid w:val="0078796F"/>
    <w:rPr>
      <w:rFonts w:ascii="Cambria" w:eastAsia="Times New Roman" w:hAnsi="Cambria" w:cs="Times New Roman"/>
      <w:b/>
      <w:bCs/>
      <w:i/>
      <w:iCs/>
      <w:snapToGrid w:val="0"/>
      <w:color w:val="4F81BD"/>
      <w:sz w:val="24"/>
    </w:rPr>
  </w:style>
  <w:style w:type="paragraph" w:customStyle="1" w:styleId="Default">
    <w:name w:val="Default"/>
    <w:rsid w:val="00BB5A6F"/>
    <w:pPr>
      <w:autoSpaceDE w:val="0"/>
      <w:autoSpaceDN w:val="0"/>
      <w:adjustRightInd w:val="0"/>
    </w:pPr>
    <w:rPr>
      <w:rFonts w:ascii="Arial" w:hAnsi="Arial" w:cs="Arial"/>
      <w:color w:val="000000"/>
      <w:sz w:val="24"/>
      <w:szCs w:val="24"/>
    </w:rPr>
  </w:style>
  <w:style w:type="character" w:customStyle="1" w:styleId="EndnoteTextChar">
    <w:name w:val="Endnote Text Char"/>
    <w:basedOn w:val="DefaultParagraphFont"/>
    <w:link w:val="EndnoteText"/>
    <w:semiHidden/>
    <w:rsid w:val="00611480"/>
    <w:rPr>
      <w:rFonts w:ascii="Courier New" w:hAnsi="Courier New"/>
      <w:snapToGrid w:val="0"/>
      <w:sz w:val="24"/>
    </w:rPr>
  </w:style>
  <w:style w:type="paragraph" w:styleId="BodyTextIndent2">
    <w:name w:val="Body Text Indent 2"/>
    <w:basedOn w:val="Normal"/>
    <w:link w:val="BodyTextIndent2Char"/>
    <w:uiPriority w:val="99"/>
    <w:semiHidden/>
    <w:unhideWhenUsed/>
    <w:rsid w:val="00611480"/>
    <w:pPr>
      <w:snapToGrid w:val="0"/>
      <w:spacing w:after="120" w:line="480" w:lineRule="auto"/>
      <w:ind w:left="360"/>
    </w:pPr>
    <w:rPr>
      <w:snapToGrid/>
    </w:rPr>
  </w:style>
  <w:style w:type="character" w:customStyle="1" w:styleId="BodyTextIndent2Char">
    <w:name w:val="Body Text Indent 2 Char"/>
    <w:basedOn w:val="DefaultParagraphFont"/>
    <w:link w:val="BodyTextIndent2"/>
    <w:uiPriority w:val="99"/>
    <w:semiHidden/>
    <w:rsid w:val="00611480"/>
    <w:rPr>
      <w:rFonts w:ascii="Courier New" w:hAnsi="Courier New"/>
      <w:sz w:val="24"/>
    </w:rPr>
  </w:style>
  <w:style w:type="paragraph" w:styleId="BodyTextIndent3">
    <w:name w:val="Body Text Indent 3"/>
    <w:basedOn w:val="Normal"/>
    <w:link w:val="BodyTextIndent3Char"/>
    <w:uiPriority w:val="99"/>
    <w:semiHidden/>
    <w:unhideWhenUsed/>
    <w:rsid w:val="00611480"/>
    <w:pPr>
      <w:snapToGrid w:val="0"/>
      <w:spacing w:after="120"/>
      <w:ind w:left="360"/>
    </w:pPr>
    <w:rPr>
      <w:snapToGrid/>
      <w:sz w:val="16"/>
      <w:szCs w:val="16"/>
    </w:rPr>
  </w:style>
  <w:style w:type="character" w:customStyle="1" w:styleId="BodyTextIndent3Char">
    <w:name w:val="Body Text Indent 3 Char"/>
    <w:basedOn w:val="DefaultParagraphFont"/>
    <w:link w:val="BodyTextIndent3"/>
    <w:uiPriority w:val="99"/>
    <w:semiHidden/>
    <w:rsid w:val="00611480"/>
    <w:rPr>
      <w:rFonts w:ascii="Courier New" w:hAnsi="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495612396">
      <w:bodyDiv w:val="1"/>
      <w:marLeft w:val="0"/>
      <w:marRight w:val="0"/>
      <w:marTop w:val="0"/>
      <w:marBottom w:val="0"/>
      <w:divBdr>
        <w:top w:val="none" w:sz="0" w:space="0" w:color="auto"/>
        <w:left w:val="none" w:sz="0" w:space="0" w:color="auto"/>
        <w:bottom w:val="none" w:sz="0" w:space="0" w:color="auto"/>
        <w:right w:val="none" w:sz="0" w:space="0" w:color="auto"/>
      </w:divBdr>
    </w:div>
    <w:div w:id="168743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03-81-85%20Timeliness%20and%20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D3088-4247-48E5-BBE4-6206C3D5C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03-81-85 Timeliness and EB.dot</Template>
  <TotalTime>0</TotalTime>
  <Pages>1</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Thomas L (DOL)</dc:creator>
  <cp:keywords/>
  <cp:lastModifiedBy>Mize, Tom L (DOL)</cp:lastModifiedBy>
  <cp:revision>6</cp:revision>
  <cp:lastPrinted>2021-11-18T19:35:00Z</cp:lastPrinted>
  <dcterms:created xsi:type="dcterms:W3CDTF">2021-11-18T19:26:00Z</dcterms:created>
  <dcterms:modified xsi:type="dcterms:W3CDTF">2021-11-18T19:40:00Z</dcterms:modified>
</cp:coreProperties>
</file>