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57A3" w14:textId="77777777" w:rsidR="005E6526" w:rsidRDefault="00524185"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2233C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7" o:title="Appeals_Letterhead_Banner"/>
          </v:shape>
        </w:pict>
      </w:r>
    </w:p>
    <w:p w14:paraId="1CA7F371" w14:textId="77777777" w:rsidR="005E6526" w:rsidRDefault="005E6526" w:rsidP="005E6526">
      <w:pPr>
        <w:pStyle w:val="Heading3"/>
        <w:widowControl/>
        <w:tabs>
          <w:tab w:val="center" w:pos="4680"/>
        </w:tabs>
        <w:suppressAutoHyphens/>
        <w:rPr>
          <w:rFonts w:ascii="Bookman Old Style" w:hAnsi="Bookman Old Style"/>
        </w:rPr>
      </w:pPr>
    </w:p>
    <w:p w14:paraId="7232E6D4" w14:textId="77777777" w:rsidR="005E6526" w:rsidRDefault="005E6526" w:rsidP="005E6526">
      <w:pPr>
        <w:pStyle w:val="Heading3"/>
        <w:widowControl/>
        <w:tabs>
          <w:tab w:val="center" w:pos="4680"/>
        </w:tabs>
        <w:suppressAutoHyphens/>
        <w:rPr>
          <w:rFonts w:ascii="Bookman Old Style" w:hAnsi="Bookman Old Style"/>
        </w:rPr>
      </w:pPr>
    </w:p>
    <w:p w14:paraId="25CE365F" w14:textId="77777777" w:rsidR="005E6526" w:rsidRDefault="005E6526" w:rsidP="005E6526">
      <w:pPr>
        <w:pStyle w:val="Heading3"/>
        <w:widowControl/>
        <w:tabs>
          <w:tab w:val="center" w:pos="4680"/>
        </w:tabs>
        <w:suppressAutoHyphens/>
        <w:rPr>
          <w:rFonts w:ascii="Bookman Old Style" w:hAnsi="Bookman Old Style"/>
        </w:rPr>
      </w:pPr>
    </w:p>
    <w:p w14:paraId="7308AEF4" w14:textId="77777777" w:rsidR="005E6526" w:rsidRDefault="005E6526" w:rsidP="005E6526">
      <w:pPr>
        <w:pStyle w:val="Heading3"/>
        <w:widowControl/>
        <w:tabs>
          <w:tab w:val="center" w:pos="4680"/>
        </w:tabs>
        <w:suppressAutoHyphens/>
        <w:rPr>
          <w:rFonts w:ascii="Bookman Old Style" w:hAnsi="Bookman Old Style"/>
        </w:rPr>
      </w:pPr>
    </w:p>
    <w:p w14:paraId="2F2CBBAE" w14:textId="77777777" w:rsidR="005E6526" w:rsidRDefault="005E6526" w:rsidP="005E6526">
      <w:pPr>
        <w:pStyle w:val="Heading3"/>
        <w:widowControl/>
        <w:tabs>
          <w:tab w:val="center" w:pos="4680"/>
        </w:tabs>
        <w:suppressAutoHyphens/>
        <w:rPr>
          <w:rFonts w:ascii="Bookman Old Style" w:hAnsi="Bookman Old Style"/>
        </w:rPr>
      </w:pPr>
    </w:p>
    <w:p w14:paraId="6228D18F" w14:textId="77777777" w:rsidR="005E6526" w:rsidRDefault="005E6526" w:rsidP="005E6526">
      <w:pPr>
        <w:pStyle w:val="Heading3"/>
        <w:widowControl/>
        <w:tabs>
          <w:tab w:val="center" w:pos="4680"/>
        </w:tabs>
        <w:suppressAutoHyphens/>
        <w:rPr>
          <w:rFonts w:ascii="Bookman Old Style" w:hAnsi="Bookman Old Style"/>
        </w:rPr>
      </w:pPr>
    </w:p>
    <w:p w14:paraId="52FC4280" w14:textId="77777777" w:rsidR="005E6526" w:rsidRDefault="005E6526" w:rsidP="005E6526">
      <w:pPr>
        <w:widowControl/>
        <w:tabs>
          <w:tab w:val="left" w:pos="-720"/>
        </w:tabs>
        <w:suppressAutoHyphens/>
        <w:rPr>
          <w:rFonts w:ascii="Bookman Old Style" w:hAnsi="Bookman Old Style"/>
        </w:rPr>
      </w:pPr>
    </w:p>
    <w:p w14:paraId="32900364" w14:textId="77777777"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14:paraId="59DED377" w14:textId="77777777" w:rsidR="005A281D" w:rsidRPr="003B2AE9" w:rsidRDefault="005A281D" w:rsidP="003B2AE9">
      <w:pPr>
        <w:widowControl/>
        <w:tabs>
          <w:tab w:val="left" w:pos="-720"/>
        </w:tabs>
        <w:suppressAutoHyphens/>
        <w:rPr>
          <w:rFonts w:ascii="Bookman Old Style" w:hAnsi="Bookman Old Style"/>
          <w:szCs w:val="24"/>
        </w:rPr>
      </w:pPr>
    </w:p>
    <w:p w14:paraId="16B2506D" w14:textId="3F89B912" w:rsidR="00A462BD" w:rsidRDefault="00A462BD" w:rsidP="00A462BD">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Docket number:</w:t>
      </w:r>
      <w:r w:rsidRPr="00304946">
        <w:rPr>
          <w:rFonts w:ascii="Bookman Old Style" w:hAnsi="Bookman Old Style"/>
          <w:szCs w:val="24"/>
        </w:rPr>
        <w:t xml:space="preserve"> </w:t>
      </w:r>
      <w:r>
        <w:rPr>
          <w:rFonts w:ascii="Bookman Old Style" w:hAnsi="Bookman Old Style"/>
          <w:szCs w:val="24"/>
        </w:rPr>
        <w:t>21 124</w:t>
      </w:r>
      <w:r w:rsidR="00F625D7">
        <w:rPr>
          <w:rFonts w:ascii="Bookman Old Style" w:hAnsi="Bookman Old Style"/>
          <w:szCs w:val="24"/>
        </w:rPr>
        <w:t>1</w:t>
      </w:r>
      <w:r w:rsidRPr="00304946">
        <w:rPr>
          <w:rFonts w:ascii="Bookman Old Style" w:hAnsi="Bookman Old Style"/>
          <w:szCs w:val="24"/>
        </w:rPr>
        <w:t xml:space="preserve">    </w:t>
      </w:r>
      <w:r w:rsidRPr="00304946">
        <w:rPr>
          <w:rFonts w:ascii="Bookman Old Style" w:hAnsi="Bookman Old Style"/>
          <w:b/>
          <w:szCs w:val="24"/>
        </w:rPr>
        <w:t>Hearing date:</w:t>
      </w:r>
      <w:r w:rsidRPr="00304946">
        <w:rPr>
          <w:rFonts w:ascii="Bookman Old Style" w:hAnsi="Bookman Old Style"/>
          <w:szCs w:val="24"/>
        </w:rPr>
        <w:t xml:space="preserve"> </w:t>
      </w:r>
      <w:r>
        <w:rPr>
          <w:rFonts w:ascii="Bookman Old Style" w:hAnsi="Bookman Old Style"/>
          <w:szCs w:val="24"/>
        </w:rPr>
        <w:t>September 1, 2021</w:t>
      </w:r>
    </w:p>
    <w:p w14:paraId="51C42044" w14:textId="77777777" w:rsidR="00A462BD" w:rsidRPr="00304946" w:rsidRDefault="00A462BD" w:rsidP="00A462BD">
      <w:pPr>
        <w:tabs>
          <w:tab w:val="center" w:pos="4680"/>
          <w:tab w:val="left" w:pos="6120"/>
        </w:tabs>
        <w:suppressAutoHyphens/>
        <w:outlineLvl w:val="0"/>
        <w:rPr>
          <w:rFonts w:ascii="Bookman Old Style" w:hAnsi="Bookman Old Style"/>
          <w:szCs w:val="24"/>
        </w:rPr>
      </w:pPr>
      <w:r>
        <w:rPr>
          <w:rFonts w:ascii="Bookman Old Style" w:hAnsi="Bookman Old Style"/>
          <w:szCs w:val="24"/>
        </w:rPr>
        <w:tab/>
      </w:r>
      <w:r>
        <w:rPr>
          <w:rFonts w:ascii="Bookman Old Style" w:hAnsi="Bookman Old Style"/>
          <w:szCs w:val="24"/>
        </w:rPr>
        <w:tab/>
        <w:t>September 2, 2020</w:t>
      </w:r>
    </w:p>
    <w:p w14:paraId="6C16B328"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p>
    <w:p w14:paraId="3DE3F94C" w14:textId="77777777" w:rsidR="00A462BD" w:rsidRPr="00304946" w:rsidRDefault="00A462BD" w:rsidP="00A462BD">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Pr="00304946">
        <w:rPr>
          <w:rFonts w:ascii="Bookman Old Style" w:hAnsi="Bookman Old Style"/>
          <w:b/>
          <w:szCs w:val="24"/>
        </w:rPr>
        <w:tab/>
      </w:r>
      <w:r w:rsidRPr="00304946">
        <w:rPr>
          <w:rFonts w:ascii="Bookman Old Style" w:hAnsi="Bookman Old Style"/>
          <w:b/>
          <w:szCs w:val="24"/>
        </w:rPr>
        <w:tab/>
      </w:r>
    </w:p>
    <w:p w14:paraId="6DDFA482"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p>
    <w:p w14:paraId="37B70F81" w14:textId="77777777" w:rsidR="00A462BD" w:rsidRPr="009471A4" w:rsidRDefault="00A462BD" w:rsidP="00A462BD">
      <w:pPr>
        <w:tabs>
          <w:tab w:val="left" w:pos="-1440"/>
          <w:tab w:val="left" w:pos="-720"/>
          <w:tab w:val="left" w:pos="0"/>
          <w:tab w:val="left" w:pos="5760"/>
        </w:tabs>
        <w:suppressAutoHyphens/>
        <w:ind w:right="-360"/>
        <w:rPr>
          <w:rFonts w:ascii="Bookman Old Style" w:hAnsi="Bookman Old Style"/>
          <w:szCs w:val="24"/>
        </w:rPr>
      </w:pPr>
      <w:r w:rsidRPr="009471A4">
        <w:rPr>
          <w:rFonts w:ascii="Bookman Old Style" w:hAnsi="Bookman Old Style"/>
          <w:szCs w:val="24"/>
        </w:rPr>
        <w:t>MATTHEW MURPHY</w:t>
      </w:r>
    </w:p>
    <w:p w14:paraId="2BDA823A" w14:textId="77777777" w:rsidR="00524185" w:rsidRDefault="00524185" w:rsidP="00A462BD">
      <w:pPr>
        <w:tabs>
          <w:tab w:val="left" w:pos="-1440"/>
          <w:tab w:val="left" w:pos="-720"/>
          <w:tab w:val="left" w:pos="0"/>
          <w:tab w:val="left" w:pos="5760"/>
        </w:tabs>
        <w:suppressAutoHyphens/>
        <w:ind w:right="-360"/>
        <w:rPr>
          <w:rFonts w:ascii="Bookman Old Style" w:hAnsi="Bookman Old Style"/>
          <w:szCs w:val="24"/>
        </w:rPr>
      </w:pPr>
    </w:p>
    <w:p w14:paraId="5E9C6345" w14:textId="77777777" w:rsidR="00524185" w:rsidRDefault="00524185" w:rsidP="00A462BD">
      <w:pPr>
        <w:tabs>
          <w:tab w:val="left" w:pos="-1440"/>
          <w:tab w:val="left" w:pos="-720"/>
          <w:tab w:val="left" w:pos="0"/>
          <w:tab w:val="left" w:pos="5760"/>
        </w:tabs>
        <w:suppressAutoHyphens/>
        <w:ind w:right="-360"/>
        <w:rPr>
          <w:rFonts w:ascii="Bookman Old Style" w:hAnsi="Bookman Old Style"/>
          <w:szCs w:val="24"/>
        </w:rPr>
      </w:pPr>
    </w:p>
    <w:p w14:paraId="524C4A22" w14:textId="78C2A762"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r w:rsidRPr="00304946">
        <w:rPr>
          <w:rFonts w:ascii="Bookman Old Style" w:hAnsi="Bookman Old Style"/>
          <w:szCs w:val="24"/>
        </w:rPr>
        <w:tab/>
      </w:r>
    </w:p>
    <w:p w14:paraId="53C4C8F3"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p>
    <w:p w14:paraId="3F5E00DF"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Pr>
          <w:rFonts w:ascii="Bookman Old Style" w:hAnsi="Bookman Old Style"/>
          <w:b/>
          <w:szCs w:val="24"/>
        </w:rPr>
        <w:t xml:space="preserve">DETS </w:t>
      </w:r>
      <w:r w:rsidRPr="00304946">
        <w:rPr>
          <w:rFonts w:ascii="Bookman Old Style" w:hAnsi="Bookman Old Style"/>
          <w:b/>
          <w:szCs w:val="24"/>
        </w:rPr>
        <w:t>APPEARANCES:</w:t>
      </w:r>
    </w:p>
    <w:p w14:paraId="145448C0"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p>
    <w:p w14:paraId="0077AA25"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Matthew Murphy</w:t>
      </w:r>
      <w:r w:rsidRPr="00304946">
        <w:rPr>
          <w:rFonts w:ascii="Bookman Old Style" w:hAnsi="Bookman Old Style"/>
          <w:szCs w:val="24"/>
        </w:rPr>
        <w:tab/>
      </w:r>
      <w:r>
        <w:rPr>
          <w:rFonts w:ascii="Bookman Old Style" w:hAnsi="Bookman Old Style"/>
          <w:szCs w:val="24"/>
        </w:rPr>
        <w:t>None</w:t>
      </w:r>
    </w:p>
    <w:p w14:paraId="3682E7BE"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570140A2"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14:paraId="6619742C" w14:textId="77777777" w:rsidR="005A281D" w:rsidRPr="003B2AE9" w:rsidRDefault="005A281D" w:rsidP="003B2AE9">
      <w:pPr>
        <w:tabs>
          <w:tab w:val="left" w:pos="-1440"/>
          <w:tab w:val="left" w:pos="-720"/>
        </w:tabs>
        <w:rPr>
          <w:rFonts w:ascii="Bookman Old Style" w:hAnsi="Bookman Old Style"/>
          <w:szCs w:val="24"/>
        </w:rPr>
      </w:pPr>
    </w:p>
    <w:p w14:paraId="798A9658" w14:textId="7B8176AC" w:rsidR="00A51C81" w:rsidRDefault="00A51C81" w:rsidP="003B2AE9">
      <w:pPr>
        <w:rPr>
          <w:rFonts w:ascii="Bookman Old Style" w:hAnsi="Bookman Old Style"/>
          <w:szCs w:val="24"/>
        </w:rPr>
      </w:pPr>
      <w:r w:rsidRPr="003B2AE9">
        <w:rPr>
          <w:rFonts w:ascii="Bookman Old Style" w:hAnsi="Bookman Old Style"/>
          <w:szCs w:val="24"/>
        </w:rPr>
        <w:t>The claimant timely appealed determination</w:t>
      </w:r>
      <w:r w:rsidR="00A462BD">
        <w:rPr>
          <w:rFonts w:ascii="Bookman Old Style" w:hAnsi="Bookman Old Style"/>
          <w:szCs w:val="24"/>
        </w:rPr>
        <w:t xml:space="preserve">s issued June 16, </w:t>
      </w:r>
      <w:proofErr w:type="gramStart"/>
      <w:r w:rsidR="00A462BD">
        <w:rPr>
          <w:rFonts w:ascii="Bookman Old Style" w:hAnsi="Bookman Old Style"/>
          <w:szCs w:val="24"/>
        </w:rPr>
        <w:t>2021</w:t>
      </w:r>
      <w:proofErr w:type="gramEnd"/>
      <w:r w:rsidR="00A462BD">
        <w:rPr>
          <w:rFonts w:ascii="Bookman Old Style" w:hAnsi="Bookman Old Style"/>
          <w:szCs w:val="24"/>
        </w:rPr>
        <w:t xml:space="preserve"> and </w:t>
      </w:r>
      <w:r w:rsidR="00F95038">
        <w:rPr>
          <w:rFonts w:ascii="Bookman Old Style" w:hAnsi="Bookman Old Style"/>
          <w:szCs w:val="24"/>
        </w:rPr>
        <w:t xml:space="preserve">    </w:t>
      </w:r>
      <w:r w:rsidR="00A462BD">
        <w:rPr>
          <w:rFonts w:ascii="Bookman Old Style" w:hAnsi="Bookman Old Style"/>
          <w:szCs w:val="24"/>
        </w:rPr>
        <w:t>June 17, 2021, both of</w:t>
      </w:r>
      <w:r w:rsidRPr="003B2AE9">
        <w:rPr>
          <w:rFonts w:ascii="Bookman Old Style" w:hAnsi="Bookman Old Style"/>
          <w:szCs w:val="24"/>
        </w:rPr>
        <w:t xml:space="preserve"> which denied benefits under AS 23.20.375. The issue before the Appeal Tribunal is whether the claimant met the </w:t>
      </w:r>
      <w:r w:rsidR="00A462BD">
        <w:rPr>
          <w:rFonts w:ascii="Bookman Old Style" w:hAnsi="Bookman Old Style"/>
          <w:szCs w:val="24"/>
        </w:rPr>
        <w:t xml:space="preserve">Division’s </w:t>
      </w:r>
      <w:r w:rsidRPr="003B2AE9">
        <w:rPr>
          <w:rFonts w:ascii="Bookman Old Style" w:hAnsi="Bookman Old Style"/>
          <w:szCs w:val="24"/>
        </w:rPr>
        <w:t>filing requirements.</w:t>
      </w:r>
    </w:p>
    <w:p w14:paraId="30B2916E" w14:textId="4D8206FF" w:rsidR="00F95038" w:rsidRDefault="00F95038" w:rsidP="003B2AE9">
      <w:pPr>
        <w:rPr>
          <w:rFonts w:ascii="Bookman Old Style" w:hAnsi="Bookman Old Style"/>
          <w:szCs w:val="24"/>
        </w:rPr>
      </w:pPr>
    </w:p>
    <w:p w14:paraId="10533CE8" w14:textId="1D3E3B51" w:rsidR="00F95038" w:rsidRPr="003B2AE9" w:rsidRDefault="00F95038" w:rsidP="003B2AE9">
      <w:pPr>
        <w:rPr>
          <w:rFonts w:ascii="Bookman Old Style" w:hAnsi="Bookman Old Style"/>
          <w:szCs w:val="24"/>
        </w:rPr>
      </w:pPr>
      <w:r>
        <w:rPr>
          <w:rFonts w:ascii="Bookman Old Style" w:hAnsi="Bookman Old Style"/>
          <w:szCs w:val="24"/>
        </w:rPr>
        <w:t xml:space="preserve">The Division issued a determination on June 2, </w:t>
      </w:r>
      <w:proofErr w:type="gramStart"/>
      <w:r>
        <w:rPr>
          <w:rFonts w:ascii="Bookman Old Style" w:hAnsi="Bookman Old Style"/>
          <w:szCs w:val="24"/>
        </w:rPr>
        <w:t>2021</w:t>
      </w:r>
      <w:proofErr w:type="gramEnd"/>
      <w:r>
        <w:rPr>
          <w:rFonts w:ascii="Bookman Old Style" w:hAnsi="Bookman Old Style"/>
          <w:szCs w:val="24"/>
        </w:rPr>
        <w:t xml:space="preserve"> that denied the claimant’s benefits for the week ending May 8, 2021 under the same filing statute and regulation.  The Tribunal takes that issue under consideration as well. </w:t>
      </w:r>
    </w:p>
    <w:p w14:paraId="54B6B06B" w14:textId="77777777" w:rsidR="005A281D" w:rsidRPr="003B2AE9" w:rsidRDefault="005A281D" w:rsidP="003B2AE9">
      <w:pPr>
        <w:tabs>
          <w:tab w:val="left" w:pos="-1440"/>
          <w:tab w:val="left" w:pos="-720"/>
        </w:tabs>
        <w:rPr>
          <w:rFonts w:ascii="Bookman Old Style" w:hAnsi="Bookman Old Style"/>
          <w:szCs w:val="24"/>
        </w:rPr>
      </w:pPr>
    </w:p>
    <w:p w14:paraId="7F9ADBD9"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14:paraId="72F11202" w14:textId="77777777" w:rsidR="005A281D" w:rsidRPr="003B2AE9" w:rsidRDefault="005A281D" w:rsidP="003B2AE9">
      <w:pPr>
        <w:tabs>
          <w:tab w:val="left" w:pos="-1440"/>
          <w:tab w:val="left" w:pos="-720"/>
        </w:tabs>
        <w:rPr>
          <w:rFonts w:ascii="Bookman Old Style" w:hAnsi="Bookman Old Style"/>
          <w:szCs w:val="24"/>
        </w:rPr>
      </w:pPr>
    </w:p>
    <w:p w14:paraId="254CD26F" w14:textId="3A3632CC" w:rsidR="00A51C81"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A462BD">
        <w:rPr>
          <w:rFonts w:ascii="Bookman Old Style" w:hAnsi="Bookman Old Style"/>
          <w:szCs w:val="24"/>
        </w:rPr>
        <w:t>March 22, 2020</w:t>
      </w:r>
      <w:r w:rsidRPr="003B2AE9">
        <w:rPr>
          <w:rFonts w:ascii="Bookman Old Style" w:hAnsi="Bookman Old Style"/>
          <w:szCs w:val="24"/>
        </w:rPr>
        <w:t xml:space="preserve">. </w:t>
      </w:r>
      <w:r w:rsidR="00A462BD">
        <w:rPr>
          <w:rFonts w:ascii="Bookman Old Style" w:hAnsi="Bookman Old Style"/>
          <w:szCs w:val="24"/>
        </w:rPr>
        <w:t>The claimant filed for benefits between periods of work, using the Division’s website.</w:t>
      </w:r>
    </w:p>
    <w:p w14:paraId="355DD0E6" w14:textId="6B23CEBC" w:rsidR="00A462BD" w:rsidRDefault="00A462BD" w:rsidP="003B2AE9">
      <w:pPr>
        <w:tabs>
          <w:tab w:val="left" w:pos="-1440"/>
          <w:tab w:val="left" w:pos="-720"/>
        </w:tabs>
        <w:rPr>
          <w:rFonts w:ascii="Bookman Old Style" w:hAnsi="Bookman Old Style"/>
          <w:szCs w:val="24"/>
        </w:rPr>
      </w:pPr>
    </w:p>
    <w:p w14:paraId="3975061A" w14:textId="72201AF0" w:rsidR="00A462BD" w:rsidRDefault="00A462BD" w:rsidP="003B2AE9">
      <w:pPr>
        <w:tabs>
          <w:tab w:val="left" w:pos="-1440"/>
          <w:tab w:val="left" w:pos="-720"/>
        </w:tabs>
        <w:rPr>
          <w:rFonts w:ascii="Bookman Old Style" w:hAnsi="Bookman Old Style"/>
          <w:szCs w:val="24"/>
        </w:rPr>
      </w:pPr>
      <w:r>
        <w:rPr>
          <w:rFonts w:ascii="Bookman Old Style" w:hAnsi="Bookman Old Style"/>
          <w:szCs w:val="24"/>
        </w:rPr>
        <w:t xml:space="preserve">The claimant ended a period of work in the week ending May 1, 2021.  He did not contact the Division or access the Division’s website in the week ending May 8, 2021. On May 15, </w:t>
      </w:r>
      <w:proofErr w:type="gramStart"/>
      <w:r>
        <w:rPr>
          <w:rFonts w:ascii="Bookman Old Style" w:hAnsi="Bookman Old Style"/>
          <w:szCs w:val="24"/>
        </w:rPr>
        <w:t>2021</w:t>
      </w:r>
      <w:proofErr w:type="gramEnd"/>
      <w:r>
        <w:rPr>
          <w:rFonts w:ascii="Bookman Old Style" w:hAnsi="Bookman Old Style"/>
          <w:szCs w:val="24"/>
        </w:rPr>
        <w:t xml:space="preserve"> the claimant accessed the website and re-opened his claim for benefits effective Sunday of that week, May 9, 2021, and filed a certification for the week ending May 8, 2021. Benefits for that week were denied because the week ended before the effective date of his re-opened </w:t>
      </w:r>
      <w:r>
        <w:rPr>
          <w:rFonts w:ascii="Bookman Old Style" w:hAnsi="Bookman Old Style"/>
          <w:szCs w:val="24"/>
        </w:rPr>
        <w:lastRenderedPageBreak/>
        <w:t>claim.</w:t>
      </w:r>
    </w:p>
    <w:p w14:paraId="0F31C1F8" w14:textId="3AC9845E" w:rsidR="005A281D" w:rsidRPr="003B2AE9" w:rsidRDefault="00A462BD" w:rsidP="003B2AE9">
      <w:pPr>
        <w:tabs>
          <w:tab w:val="left" w:pos="-1440"/>
          <w:tab w:val="left" w:pos="-720"/>
        </w:tabs>
        <w:rPr>
          <w:rFonts w:ascii="Bookman Old Style" w:hAnsi="Bookman Old Style"/>
          <w:szCs w:val="24"/>
        </w:rPr>
      </w:pPr>
      <w:r>
        <w:rPr>
          <w:rFonts w:ascii="Bookman Old Style" w:hAnsi="Bookman Old Style"/>
          <w:szCs w:val="24"/>
        </w:rPr>
        <w:t xml:space="preserve">The claimant </w:t>
      </w:r>
      <w:r w:rsidR="00F53257">
        <w:rPr>
          <w:rFonts w:ascii="Bookman Old Style" w:hAnsi="Bookman Old Style"/>
          <w:szCs w:val="24"/>
        </w:rPr>
        <w:t xml:space="preserve">timely </w:t>
      </w:r>
      <w:r>
        <w:rPr>
          <w:rFonts w:ascii="Bookman Old Style" w:hAnsi="Bookman Old Style"/>
          <w:szCs w:val="24"/>
        </w:rPr>
        <w:t xml:space="preserve">attempted to </w:t>
      </w:r>
      <w:proofErr w:type="gramStart"/>
      <w:r>
        <w:rPr>
          <w:rFonts w:ascii="Bookman Old Style" w:hAnsi="Bookman Old Style"/>
          <w:szCs w:val="24"/>
        </w:rPr>
        <w:t>filed</w:t>
      </w:r>
      <w:proofErr w:type="gramEnd"/>
      <w:r>
        <w:rPr>
          <w:rFonts w:ascii="Bookman Old Style" w:hAnsi="Bookman Old Style"/>
          <w:szCs w:val="24"/>
        </w:rPr>
        <w:t xml:space="preserve"> a certification to claim benefits for the week ending May 15, 2021, but his access to the State’s </w:t>
      </w:r>
      <w:proofErr w:type="spellStart"/>
      <w:r>
        <w:rPr>
          <w:rFonts w:ascii="Bookman Old Style" w:hAnsi="Bookman Old Style"/>
          <w:szCs w:val="24"/>
        </w:rPr>
        <w:t>MyAlaska</w:t>
      </w:r>
      <w:proofErr w:type="spellEnd"/>
      <w:r>
        <w:rPr>
          <w:rFonts w:ascii="Bookman Old Style" w:hAnsi="Bookman Old Style"/>
          <w:szCs w:val="24"/>
        </w:rPr>
        <w:t xml:space="preserve"> </w:t>
      </w:r>
      <w:r w:rsidR="004F10A8">
        <w:rPr>
          <w:rFonts w:ascii="Bookman Old Style" w:hAnsi="Bookman Old Style"/>
          <w:szCs w:val="24"/>
        </w:rPr>
        <w:t xml:space="preserve">website was locked, which prevented him from filing.  The claimant began calling the Division for assistance, but the phone system advised him there was a high call volume and often would not let him hold or would disconnect him.  The claimant eventually reached a </w:t>
      </w:r>
      <w:proofErr w:type="gramStart"/>
      <w:r w:rsidR="004F10A8">
        <w:rPr>
          <w:rFonts w:ascii="Bookman Old Style" w:hAnsi="Bookman Old Style"/>
          <w:szCs w:val="24"/>
        </w:rPr>
        <w:t>Division</w:t>
      </w:r>
      <w:proofErr w:type="gramEnd"/>
      <w:r w:rsidR="004F10A8">
        <w:rPr>
          <w:rFonts w:ascii="Bookman Old Style" w:hAnsi="Bookman Old Style"/>
          <w:szCs w:val="24"/>
        </w:rPr>
        <w:t xml:space="preserve"> representative in the Benefit Payment Control office on June 7, 2021. The claimant was advised </w:t>
      </w:r>
      <w:r w:rsidR="00F53257">
        <w:rPr>
          <w:rFonts w:ascii="Bookman Old Style" w:hAnsi="Bookman Old Style"/>
          <w:szCs w:val="24"/>
        </w:rPr>
        <w:t xml:space="preserve">he was required </w:t>
      </w:r>
      <w:r w:rsidR="004F10A8">
        <w:rPr>
          <w:rFonts w:ascii="Bookman Old Style" w:hAnsi="Bookman Old Style"/>
          <w:szCs w:val="24"/>
        </w:rPr>
        <w:t xml:space="preserve">to call the claim center.  After many </w:t>
      </w:r>
      <w:r w:rsidR="00F53257">
        <w:rPr>
          <w:rFonts w:ascii="Bookman Old Style" w:hAnsi="Bookman Old Style"/>
          <w:szCs w:val="24"/>
        </w:rPr>
        <w:t xml:space="preserve">more </w:t>
      </w:r>
      <w:r w:rsidR="004F10A8">
        <w:rPr>
          <w:rFonts w:ascii="Bookman Old Style" w:hAnsi="Bookman Old Style"/>
          <w:szCs w:val="24"/>
        </w:rPr>
        <w:t>calls, the claimant reached a claim center representative on June 15, 2021.</w:t>
      </w:r>
      <w:r w:rsidR="00960177">
        <w:rPr>
          <w:rFonts w:ascii="Bookman Old Style" w:hAnsi="Bookman Old Style"/>
          <w:szCs w:val="24"/>
        </w:rPr>
        <w:t xml:space="preserve"> The representative re-opened the claimant’s claim effective</w:t>
      </w:r>
      <w:r w:rsidR="00F53257">
        <w:rPr>
          <w:rFonts w:ascii="Bookman Old Style" w:hAnsi="Bookman Old Style"/>
          <w:szCs w:val="24"/>
        </w:rPr>
        <w:t xml:space="preserve"> Sunday of that week,</w:t>
      </w:r>
      <w:r w:rsidR="00960177">
        <w:rPr>
          <w:rFonts w:ascii="Bookman Old Style" w:hAnsi="Bookman Old Style"/>
          <w:szCs w:val="24"/>
        </w:rPr>
        <w:t xml:space="preserve"> June 13, </w:t>
      </w:r>
      <w:proofErr w:type="gramStart"/>
      <w:r w:rsidR="00960177">
        <w:rPr>
          <w:rFonts w:ascii="Bookman Old Style" w:hAnsi="Bookman Old Style"/>
          <w:szCs w:val="24"/>
        </w:rPr>
        <w:t>2021</w:t>
      </w:r>
      <w:proofErr w:type="gramEnd"/>
      <w:r w:rsidR="00960177">
        <w:rPr>
          <w:rFonts w:ascii="Bookman Old Style" w:hAnsi="Bookman Old Style"/>
          <w:szCs w:val="24"/>
        </w:rPr>
        <w:t xml:space="preserve"> and took his certifications by phone for the weeks ending May 15, 2021 through</w:t>
      </w:r>
      <w:r w:rsidR="00F53257">
        <w:rPr>
          <w:rFonts w:ascii="Bookman Old Style" w:hAnsi="Bookman Old Style"/>
          <w:szCs w:val="24"/>
        </w:rPr>
        <w:t xml:space="preserve">             </w:t>
      </w:r>
      <w:r w:rsidR="00960177">
        <w:rPr>
          <w:rFonts w:ascii="Bookman Old Style" w:hAnsi="Bookman Old Style"/>
          <w:szCs w:val="24"/>
        </w:rPr>
        <w:t xml:space="preserve"> June 5, 2021. The claimant filed a certification for the week ending </w:t>
      </w:r>
      <w:r w:rsidR="00F53257">
        <w:rPr>
          <w:rFonts w:ascii="Bookman Old Style" w:hAnsi="Bookman Old Style"/>
          <w:szCs w:val="24"/>
        </w:rPr>
        <w:t xml:space="preserve">            </w:t>
      </w:r>
      <w:r w:rsidR="00960177">
        <w:rPr>
          <w:rFonts w:ascii="Bookman Old Style" w:hAnsi="Bookman Old Style"/>
          <w:szCs w:val="24"/>
        </w:rPr>
        <w:t xml:space="preserve">June 12, </w:t>
      </w:r>
      <w:proofErr w:type="gramStart"/>
      <w:r w:rsidR="00960177">
        <w:rPr>
          <w:rFonts w:ascii="Bookman Old Style" w:hAnsi="Bookman Old Style"/>
          <w:szCs w:val="24"/>
        </w:rPr>
        <w:t>2021</w:t>
      </w:r>
      <w:proofErr w:type="gramEnd"/>
      <w:r w:rsidR="00960177">
        <w:rPr>
          <w:rFonts w:ascii="Bookman Old Style" w:hAnsi="Bookman Old Style"/>
          <w:szCs w:val="24"/>
        </w:rPr>
        <w:t xml:space="preserve"> on the website. Benefits were denied for weeks ending</w:t>
      </w:r>
      <w:r w:rsidR="00F53257">
        <w:rPr>
          <w:rFonts w:ascii="Bookman Old Style" w:hAnsi="Bookman Old Style"/>
          <w:szCs w:val="24"/>
        </w:rPr>
        <w:t xml:space="preserve">          </w:t>
      </w:r>
      <w:r w:rsidR="00960177">
        <w:rPr>
          <w:rFonts w:ascii="Bookman Old Style" w:hAnsi="Bookman Old Style"/>
          <w:szCs w:val="24"/>
        </w:rPr>
        <w:t xml:space="preserve"> May 15, </w:t>
      </w:r>
      <w:proofErr w:type="gramStart"/>
      <w:r w:rsidR="00960177">
        <w:rPr>
          <w:rFonts w:ascii="Bookman Old Style" w:hAnsi="Bookman Old Style"/>
          <w:szCs w:val="24"/>
        </w:rPr>
        <w:t>2021</w:t>
      </w:r>
      <w:proofErr w:type="gramEnd"/>
      <w:r w:rsidR="00960177">
        <w:rPr>
          <w:rFonts w:ascii="Bookman Old Style" w:hAnsi="Bookman Old Style"/>
          <w:szCs w:val="24"/>
        </w:rPr>
        <w:t xml:space="preserve"> through June 5, 2021 on a holding that the weeks were filed late.  Benefits were denied for the week ending June 12, </w:t>
      </w:r>
      <w:proofErr w:type="gramStart"/>
      <w:r w:rsidR="00960177">
        <w:rPr>
          <w:rFonts w:ascii="Bookman Old Style" w:hAnsi="Bookman Old Style"/>
          <w:szCs w:val="24"/>
        </w:rPr>
        <w:t>2021</w:t>
      </w:r>
      <w:proofErr w:type="gramEnd"/>
      <w:r w:rsidR="00960177">
        <w:rPr>
          <w:rFonts w:ascii="Bookman Old Style" w:hAnsi="Bookman Old Style"/>
          <w:szCs w:val="24"/>
        </w:rPr>
        <w:t xml:space="preserve"> because the week ended before the date of the claimant’s re-opened claim. </w:t>
      </w:r>
    </w:p>
    <w:p w14:paraId="02EB122D" w14:textId="77777777" w:rsidR="005A281D" w:rsidRPr="003B2AE9" w:rsidRDefault="005A281D" w:rsidP="003B2AE9">
      <w:pPr>
        <w:tabs>
          <w:tab w:val="left" w:pos="-1440"/>
          <w:tab w:val="left" w:pos="-720"/>
        </w:tabs>
        <w:rPr>
          <w:rFonts w:ascii="Bookman Old Style" w:hAnsi="Bookman Old Style"/>
          <w:szCs w:val="24"/>
        </w:rPr>
      </w:pPr>
    </w:p>
    <w:p w14:paraId="0F24FBFA"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PROVISIONS OF LAW</w:t>
      </w:r>
    </w:p>
    <w:p w14:paraId="18E35F12" w14:textId="77777777" w:rsidR="005A281D" w:rsidRPr="003B2AE9" w:rsidRDefault="005A281D" w:rsidP="003B2AE9">
      <w:pPr>
        <w:tabs>
          <w:tab w:val="left" w:pos="-1440"/>
          <w:tab w:val="left" w:pos="-720"/>
        </w:tabs>
        <w:rPr>
          <w:rFonts w:ascii="Bookman Old Style" w:hAnsi="Bookman Old Style"/>
          <w:szCs w:val="24"/>
        </w:rPr>
      </w:pPr>
    </w:p>
    <w:p w14:paraId="65C2F753"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14:paraId="0397176E" w14:textId="77777777"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566A7621" w14:textId="77777777" w:rsidR="00A51C81" w:rsidRPr="003B2AE9" w:rsidRDefault="00524185" w:rsidP="000B12C4">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37D9EB22">
          <v:shape id="Picture 3" o:spid="_x0000_i1025" type="#_x0000_t75" alt="http://www.legis.state.ak.us/sdimages/tab.gif" style="width:22.5pt;height:.75pt;visibility:visible">
            <v:imagedata r:id="rId8" o:title="tab"/>
          </v:shape>
        </w:pict>
      </w:r>
      <w:r w:rsidR="00A51C81" w:rsidRPr="003B2AE9">
        <w:rPr>
          <w:rFonts w:ascii="Bookman Old Style" w:hAnsi="Bookman Old Style"/>
        </w:rPr>
        <w:t xml:space="preserve">(1) </w:t>
      </w:r>
      <w:r w:rsidR="00A51C81" w:rsidRPr="003B2AE9">
        <w:rPr>
          <w:rFonts w:ascii="Bookman Old Style" w:hAnsi="Bookman Old Style"/>
        </w:rPr>
        <w:tab/>
        <w:t>made an initial claim for benefits; and</w:t>
      </w:r>
    </w:p>
    <w:p w14:paraId="4D42BF68" w14:textId="77777777" w:rsidR="00A51C81" w:rsidRDefault="00524185" w:rsidP="000B12C4">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3E1E5A38">
          <v:shape id="_x0000_i1026" type="#_x0000_t75" alt="http://www.legis.state.ak.us/sdimages/tab.gif" style="width:22.5pt;height:.75pt;visibility:visible">
            <v:imagedata r:id="rId8" o:title="tab"/>
          </v:shape>
        </w:pict>
      </w:r>
      <w:r w:rsidR="00A51C81" w:rsidRPr="003B2AE9">
        <w:rPr>
          <w:rFonts w:ascii="Bookman Old Style" w:hAnsi="Bookman Old Style"/>
        </w:rPr>
        <w:t xml:space="preserve">(2) </w:t>
      </w:r>
      <w:r w:rsidR="00A51C81" w:rsidRPr="003B2AE9">
        <w:rPr>
          <w:rFonts w:ascii="Bookman Old Style" w:hAnsi="Bookman Old Style"/>
        </w:rPr>
        <w:tab/>
        <w:t>for that week, certified for waiting-week credit or made a claim for benefits.</w:t>
      </w:r>
    </w:p>
    <w:p w14:paraId="14B5D672" w14:textId="77777777"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14:paraId="1EF088D7"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14:paraId="0CBE6724"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7F878B0B"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0DEE2354" w14:textId="77777777"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03CE0A96"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4005CC4F" w14:textId="133A30D5" w:rsidR="000B12C4" w:rsidRPr="003B2AE9" w:rsidRDefault="00A51C81" w:rsidP="00443716">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397BCA84" w14:textId="77777777"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5D14FF4C"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lastRenderedPageBreak/>
        <w:t xml:space="preserve">(1) </w:t>
      </w:r>
      <w:r w:rsidRPr="003B2AE9">
        <w:rPr>
          <w:rFonts w:ascii="Bookman Old Style" w:hAnsi="Bookman Old Style"/>
        </w:rPr>
        <w:tab/>
        <w:t xml:space="preserve">files the claim; or </w:t>
      </w:r>
    </w:p>
    <w:p w14:paraId="621594D2" w14:textId="03C0B707" w:rsidR="000B12C4" w:rsidRPr="003B2AE9" w:rsidRDefault="00A51C81" w:rsidP="00443716">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70FB1A65"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6C309A49"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1F9BDDA1"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39922DC0"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37F1E46F"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55D54D51"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7961C801" w14:textId="1F2C5B8B" w:rsidR="000B12C4" w:rsidRPr="003B2AE9" w:rsidRDefault="00A51C81" w:rsidP="00443716">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earned wages for a week greater than one and one-third times the weekly benefit amount plus $50. </w:t>
      </w:r>
    </w:p>
    <w:p w14:paraId="3742B4CB" w14:textId="77777777" w:rsidR="00A51C81"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(i)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151E8EEA"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505D5F34"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6CC63358" w14:textId="0FF7595F" w:rsidR="000B12C4" w:rsidRPr="003B2AE9" w:rsidRDefault="00A51C81" w:rsidP="00443716">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0AAC9CCD" w14:textId="4ACE2EBA" w:rsidR="00A51C81"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62E373FA" w14:textId="4AE538ED" w:rsidR="00443716" w:rsidRDefault="00443716" w:rsidP="001E771F">
      <w:pPr>
        <w:pStyle w:val="NormalWeb"/>
        <w:tabs>
          <w:tab w:val="left" w:pos="1440"/>
        </w:tabs>
        <w:spacing w:before="0" w:beforeAutospacing="0" w:after="0" w:afterAutospacing="0"/>
        <w:ind w:left="270" w:hanging="270"/>
        <w:rPr>
          <w:rFonts w:ascii="Bookman Old Style" w:hAnsi="Bookman Old Style"/>
        </w:rPr>
      </w:pPr>
    </w:p>
    <w:p w14:paraId="7C628D04" w14:textId="77777777" w:rsidR="00443716" w:rsidRDefault="00443716" w:rsidP="00443716">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14:paraId="6BC8D3ED" w14:textId="77777777" w:rsidR="00443716" w:rsidRPr="00BB501E" w:rsidRDefault="00443716" w:rsidP="00443716">
      <w:pPr>
        <w:tabs>
          <w:tab w:val="left" w:pos="1440"/>
        </w:tabs>
        <w:rPr>
          <w:rFonts w:ascii="Bookman Old Style" w:hAnsi="Bookman Old Style"/>
          <w:b/>
          <w:szCs w:val="24"/>
        </w:rPr>
      </w:pPr>
    </w:p>
    <w:p w14:paraId="12772682"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14:paraId="000D0300" w14:textId="77777777"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a continued claim for the week as required in this section; and </w:t>
      </w:r>
    </w:p>
    <w:p w14:paraId="33FE9905" w14:textId="5E0843B6"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meets all requirements of </w:t>
      </w:r>
      <w:r>
        <w:rPr>
          <w:rFonts w:ascii="Bookman Old Style" w:hAnsi="Bookman Old Style"/>
        </w:rPr>
        <w:t xml:space="preserve">AS 23.20 </w:t>
      </w:r>
      <w:r w:rsidRPr="00BB501E">
        <w:rPr>
          <w:rFonts w:ascii="Bookman Old Style" w:hAnsi="Bookman Old Style"/>
        </w:rPr>
        <w:t xml:space="preserve">and this chapter. </w:t>
      </w:r>
    </w:p>
    <w:p w14:paraId="494129CE"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14:paraId="63ED950E" w14:textId="77777777"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lastRenderedPageBreak/>
        <w:t xml:space="preserve">(1) </w:t>
      </w:r>
      <w:r w:rsidRPr="00BB501E">
        <w:rPr>
          <w:rFonts w:ascii="Bookman Old Style" w:hAnsi="Bookman Old Style"/>
        </w:rPr>
        <w:tab/>
        <w:t xml:space="preserve">an electronic means designated by the </w:t>
      </w:r>
      <w:proofErr w:type="gramStart"/>
      <w:r w:rsidRPr="00BB501E">
        <w:rPr>
          <w:rFonts w:ascii="Bookman Old Style" w:hAnsi="Bookman Old Style"/>
        </w:rPr>
        <w:t>director;</w:t>
      </w:r>
      <w:proofErr w:type="gramEnd"/>
      <w:r w:rsidRPr="00BB501E">
        <w:rPr>
          <w:rFonts w:ascii="Bookman Old Style" w:hAnsi="Bookman Old Style"/>
        </w:rPr>
        <w:t xml:space="preserve"> </w:t>
      </w:r>
    </w:p>
    <w:p w14:paraId="2C7C3665" w14:textId="77777777"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14:paraId="343F8148" w14:textId="77777777" w:rsidR="00443716"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14:paraId="034F70AA" w14:textId="77777777"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p>
    <w:p w14:paraId="19A1E481"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14:paraId="72C7EBEC"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14:paraId="7AB2C361"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36FE49D0"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14:paraId="546287DA"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6302A77C" w14:textId="77777777" w:rsidR="00443716" w:rsidRPr="00BB501E" w:rsidRDefault="00443716" w:rsidP="00443716">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if the director authorizes the filing of bi-weekly claims, the claim may not be filed later than seven days after the end of the bi-weekly period authorized by the </w:t>
      </w:r>
      <w:proofErr w:type="gramStart"/>
      <w:r w:rsidRPr="00BB501E">
        <w:rPr>
          <w:rFonts w:ascii="Bookman Old Style" w:hAnsi="Bookman Old Style"/>
        </w:rPr>
        <w:t>director;</w:t>
      </w:r>
      <w:proofErr w:type="gramEnd"/>
      <w:r w:rsidRPr="00BB501E">
        <w:rPr>
          <w:rFonts w:ascii="Bookman Old Style" w:hAnsi="Bookman Old Style"/>
        </w:rPr>
        <w:t xml:space="preserve"> </w:t>
      </w:r>
    </w:p>
    <w:p w14:paraId="77E03276" w14:textId="77777777" w:rsidR="00443716" w:rsidRPr="00BB501E" w:rsidRDefault="00443716" w:rsidP="00443716">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a claim for benefits for a week of partial unemployment may not be filed later than seven days after the claimant receives wages for that week. </w:t>
      </w:r>
    </w:p>
    <w:p w14:paraId="6EFCC0B7"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56C5C6A5" w14:textId="7E1A7AD9" w:rsidR="00443716" w:rsidRPr="00443716"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w:t>
      </w:r>
      <w:proofErr w:type="spellStart"/>
      <w:r w:rsidRPr="00BB501E">
        <w:rPr>
          <w:rFonts w:ascii="Bookman Old Style" w:hAnsi="Bookman Old Style"/>
        </w:rPr>
        <w:t>i</w:t>
      </w:r>
      <w:proofErr w:type="spellEnd"/>
      <w:r w:rsidRPr="00BB501E">
        <w:rPr>
          <w:rFonts w:ascii="Bookman Old Style" w:hAnsi="Bookman Old Style"/>
        </w:rPr>
        <w:t xml:space="preserve">) </w:t>
      </w:r>
      <w:r>
        <w:rPr>
          <w:rFonts w:ascii="Bookman Old Style" w:hAnsi="Bookman Old Style"/>
        </w:rPr>
        <w:t xml:space="preserve"> </w:t>
      </w:r>
      <w:r w:rsidRPr="00BB501E">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BB501E">
        <w:rPr>
          <w:rFonts w:ascii="Bookman Old Style" w:hAnsi="Bookman Old Style"/>
        </w:rPr>
        <w:t>in order to</w:t>
      </w:r>
      <w:proofErr w:type="gramEnd"/>
      <w:r w:rsidRPr="00BB501E">
        <w:rPr>
          <w:rFonts w:ascii="Bookman Old Style" w:hAnsi="Bookman Old Style"/>
        </w:rPr>
        <w:t xml:space="preserve"> file a continued claim.</w:t>
      </w:r>
    </w:p>
    <w:p w14:paraId="1B081242" w14:textId="77777777" w:rsidR="00B317D0" w:rsidRPr="003B2AE9" w:rsidRDefault="00B317D0" w:rsidP="003B2AE9">
      <w:pPr>
        <w:rPr>
          <w:rFonts w:ascii="Bookman Old Style" w:hAnsi="Bookman Old Style"/>
          <w:szCs w:val="24"/>
        </w:rPr>
      </w:pPr>
    </w:p>
    <w:p w14:paraId="1FB120C8"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14:paraId="694351F9" w14:textId="77777777" w:rsidR="005A281D" w:rsidRPr="003B2AE9" w:rsidRDefault="005A281D" w:rsidP="003B2AE9">
      <w:pPr>
        <w:tabs>
          <w:tab w:val="left" w:pos="-1440"/>
          <w:tab w:val="left" w:pos="-720"/>
        </w:tabs>
        <w:rPr>
          <w:rFonts w:ascii="Bookman Old Style" w:hAnsi="Bookman Old Style"/>
          <w:szCs w:val="24"/>
        </w:rPr>
      </w:pPr>
    </w:p>
    <w:p w14:paraId="528756B3" w14:textId="2353F414" w:rsidR="00443716" w:rsidRDefault="00443716" w:rsidP="003B2AE9">
      <w:pPr>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of unemployment, a claimant must have an initial claim in place and must file a certification.</w:t>
      </w:r>
    </w:p>
    <w:p w14:paraId="66C7619B" w14:textId="09F855F2" w:rsidR="00443716" w:rsidRDefault="00443716" w:rsidP="003B2AE9">
      <w:pPr>
        <w:rPr>
          <w:rFonts w:ascii="Bookman Old Style" w:hAnsi="Bookman Old Style"/>
          <w:spacing w:val="-3"/>
          <w:szCs w:val="24"/>
        </w:rPr>
      </w:pPr>
    </w:p>
    <w:p w14:paraId="1705E834" w14:textId="00628166" w:rsidR="00443716" w:rsidRDefault="00443716" w:rsidP="003B2AE9">
      <w:pPr>
        <w:rPr>
          <w:rFonts w:ascii="Bookman Old Style" w:hAnsi="Bookman Old Style"/>
          <w:spacing w:val="-3"/>
          <w:szCs w:val="24"/>
        </w:rPr>
      </w:pPr>
      <w:r>
        <w:rPr>
          <w:rFonts w:ascii="Bookman Old Style" w:hAnsi="Bookman Old Style"/>
          <w:spacing w:val="-3"/>
          <w:szCs w:val="24"/>
        </w:rPr>
        <w:t>Regulation 8 AAC 85.</w:t>
      </w:r>
      <w:r w:rsidR="003C1DD2">
        <w:rPr>
          <w:rFonts w:ascii="Bookman Old Style" w:hAnsi="Bookman Old Style"/>
          <w:spacing w:val="-3"/>
          <w:szCs w:val="24"/>
        </w:rPr>
        <w:t>100 holds that initial claims are effective Sunday of the week in which they were filed</w:t>
      </w:r>
      <w:r w:rsidR="00F53257">
        <w:rPr>
          <w:rFonts w:ascii="Bookman Old Style" w:hAnsi="Bookman Old Style"/>
          <w:spacing w:val="-3"/>
          <w:szCs w:val="24"/>
        </w:rPr>
        <w:t xml:space="preserve"> </w:t>
      </w:r>
      <w:r w:rsidR="003C1DD2">
        <w:rPr>
          <w:rFonts w:ascii="Bookman Old Style" w:hAnsi="Bookman Old Style"/>
          <w:spacing w:val="-3"/>
          <w:szCs w:val="24"/>
        </w:rPr>
        <w:t xml:space="preserve">or requested to be filed. The claimant did not request to re-open his claim in the week ending May 8, 2021, so his benefits were properly died for that week.  </w:t>
      </w:r>
    </w:p>
    <w:p w14:paraId="29B37FB7" w14:textId="663753BD" w:rsidR="003C1DD2" w:rsidRDefault="003C1DD2" w:rsidP="003B2AE9">
      <w:pPr>
        <w:rPr>
          <w:rFonts w:ascii="Bookman Old Style" w:hAnsi="Bookman Old Style"/>
          <w:spacing w:val="-3"/>
          <w:szCs w:val="24"/>
        </w:rPr>
      </w:pPr>
    </w:p>
    <w:p w14:paraId="739465B4" w14:textId="012DE40E" w:rsidR="003C1DD2" w:rsidRDefault="003C1DD2" w:rsidP="003B2AE9">
      <w:pPr>
        <w:rPr>
          <w:rFonts w:ascii="Bookman Old Style" w:hAnsi="Bookman Old Style"/>
          <w:spacing w:val="-3"/>
          <w:szCs w:val="24"/>
        </w:rPr>
      </w:pPr>
      <w:r>
        <w:rPr>
          <w:rFonts w:ascii="Bookman Old Style" w:hAnsi="Bookman Old Style"/>
          <w:spacing w:val="-3"/>
          <w:szCs w:val="24"/>
        </w:rPr>
        <w:t xml:space="preserve">Regulation 8 AAC 85.102 holds that a certification must be filed within seven </w:t>
      </w:r>
      <w:r>
        <w:rPr>
          <w:rFonts w:ascii="Bookman Old Style" w:hAnsi="Bookman Old Style"/>
          <w:spacing w:val="-3"/>
          <w:szCs w:val="24"/>
        </w:rPr>
        <w:lastRenderedPageBreak/>
        <w:t xml:space="preserve">days of the end of </w:t>
      </w:r>
      <w:r w:rsidR="00F53257">
        <w:rPr>
          <w:rFonts w:ascii="Bookman Old Style" w:hAnsi="Bookman Old Style"/>
          <w:spacing w:val="-3"/>
          <w:szCs w:val="24"/>
        </w:rPr>
        <w:t>the</w:t>
      </w:r>
      <w:r>
        <w:rPr>
          <w:rFonts w:ascii="Bookman Old Style" w:hAnsi="Bookman Old Style"/>
          <w:spacing w:val="-3"/>
          <w:szCs w:val="24"/>
        </w:rPr>
        <w:t xml:space="preserve"> week</w:t>
      </w:r>
      <w:r w:rsidR="00F53257">
        <w:rPr>
          <w:rFonts w:ascii="Bookman Old Style" w:hAnsi="Bookman Old Style"/>
          <w:spacing w:val="-3"/>
          <w:szCs w:val="24"/>
        </w:rPr>
        <w:t xml:space="preserve"> being claimed</w:t>
      </w:r>
      <w:r>
        <w:rPr>
          <w:rFonts w:ascii="Bookman Old Style" w:hAnsi="Bookman Old Style"/>
          <w:spacing w:val="-3"/>
          <w:szCs w:val="24"/>
        </w:rPr>
        <w:t xml:space="preserve">, or within seven days of the end of a bi-weekly period. The regulation holds that time to file will be extended if the claimant has good cause for not filing timely and files as soon as possible.  The claimant in this case tried to file a certification for the week ending May 15, 2021 timely and he was unable to do so because his </w:t>
      </w:r>
      <w:proofErr w:type="gramStart"/>
      <w:r>
        <w:rPr>
          <w:rFonts w:ascii="Bookman Old Style" w:hAnsi="Bookman Old Style"/>
          <w:spacing w:val="-3"/>
          <w:szCs w:val="24"/>
        </w:rPr>
        <w:t xml:space="preserve">access </w:t>
      </w:r>
      <w:r w:rsidR="00F53257">
        <w:rPr>
          <w:rFonts w:ascii="Bookman Old Style" w:hAnsi="Bookman Old Style"/>
          <w:spacing w:val="-3"/>
          <w:szCs w:val="24"/>
        </w:rPr>
        <w:t xml:space="preserve"> to</w:t>
      </w:r>
      <w:proofErr w:type="gramEnd"/>
      <w:r w:rsidR="00F53257">
        <w:rPr>
          <w:rFonts w:ascii="Bookman Old Style" w:hAnsi="Bookman Old Style"/>
          <w:spacing w:val="-3"/>
          <w:szCs w:val="24"/>
        </w:rPr>
        <w:t xml:space="preserve"> the Division’s website </w:t>
      </w:r>
      <w:r>
        <w:rPr>
          <w:rFonts w:ascii="Bookman Old Style" w:hAnsi="Bookman Old Style"/>
          <w:spacing w:val="-3"/>
          <w:szCs w:val="24"/>
        </w:rPr>
        <w:t xml:space="preserve">was locked. The claimant sought help with this </w:t>
      </w:r>
      <w:proofErr w:type="gramStart"/>
      <w:r>
        <w:rPr>
          <w:rFonts w:ascii="Bookman Old Style" w:hAnsi="Bookman Old Style"/>
          <w:spacing w:val="-3"/>
          <w:szCs w:val="24"/>
        </w:rPr>
        <w:t>issue, and</w:t>
      </w:r>
      <w:proofErr w:type="gramEnd"/>
      <w:r>
        <w:rPr>
          <w:rFonts w:ascii="Bookman Old Style" w:hAnsi="Bookman Old Style"/>
          <w:spacing w:val="-3"/>
          <w:szCs w:val="24"/>
        </w:rPr>
        <w:t xml:space="preserve"> was prevented from getting timely help because the Division’s phone were busy and he could not get through to a representative that could help him until June 15, 2021.  The Tribunal finds the claimant had good cause to delay filing his claim a</w:t>
      </w:r>
      <w:r w:rsidR="00F53257">
        <w:rPr>
          <w:rFonts w:ascii="Bookman Old Style" w:hAnsi="Bookman Old Style"/>
          <w:spacing w:val="-3"/>
          <w:szCs w:val="24"/>
        </w:rPr>
        <w:t>s</w:t>
      </w:r>
      <w:r>
        <w:rPr>
          <w:rFonts w:ascii="Bookman Old Style" w:hAnsi="Bookman Old Style"/>
          <w:spacing w:val="-3"/>
          <w:szCs w:val="24"/>
        </w:rPr>
        <w:t xml:space="preserve"> the issue that prevented him from filing was outside his control, as was the </w:t>
      </w:r>
      <w:r w:rsidR="00F53257">
        <w:rPr>
          <w:rFonts w:ascii="Bookman Old Style" w:hAnsi="Bookman Old Style"/>
          <w:spacing w:val="-3"/>
          <w:szCs w:val="24"/>
        </w:rPr>
        <w:t xml:space="preserve">volume of </w:t>
      </w:r>
      <w:r>
        <w:rPr>
          <w:rFonts w:ascii="Bookman Old Style" w:hAnsi="Bookman Old Style"/>
          <w:spacing w:val="-3"/>
          <w:szCs w:val="24"/>
        </w:rPr>
        <w:t xml:space="preserve">traffic on the Division’s phone system. The Tribunal finds the claimant’s certifications for the weeks ending May 15, </w:t>
      </w:r>
      <w:proofErr w:type="gramStart"/>
      <w:r>
        <w:rPr>
          <w:rFonts w:ascii="Bookman Old Style" w:hAnsi="Bookman Old Style"/>
          <w:spacing w:val="-3"/>
          <w:szCs w:val="24"/>
        </w:rPr>
        <w:t>2021</w:t>
      </w:r>
      <w:proofErr w:type="gramEnd"/>
      <w:r>
        <w:rPr>
          <w:rFonts w:ascii="Bookman Old Style" w:hAnsi="Bookman Old Style"/>
          <w:spacing w:val="-3"/>
          <w:szCs w:val="24"/>
        </w:rPr>
        <w:t xml:space="preserve"> through June 5, 2021 should be accepted as timely filed.  </w:t>
      </w:r>
    </w:p>
    <w:p w14:paraId="68B6454A" w14:textId="338D16B4" w:rsidR="00FA63D7" w:rsidRDefault="00FA63D7" w:rsidP="003B2AE9">
      <w:pPr>
        <w:rPr>
          <w:rFonts w:ascii="Bookman Old Style" w:hAnsi="Bookman Old Style"/>
          <w:spacing w:val="-3"/>
          <w:szCs w:val="24"/>
        </w:rPr>
      </w:pPr>
    </w:p>
    <w:p w14:paraId="46ACC3AB" w14:textId="7ACAA3F6" w:rsidR="00FA63D7" w:rsidRDefault="00FA63D7" w:rsidP="003B2AE9">
      <w:pPr>
        <w:rPr>
          <w:rFonts w:ascii="Bookman Old Style" w:hAnsi="Bookman Old Style"/>
          <w:spacing w:val="-3"/>
          <w:szCs w:val="24"/>
        </w:rPr>
      </w:pPr>
      <w:r>
        <w:rPr>
          <w:rFonts w:ascii="Bookman Old Style" w:hAnsi="Bookman Old Style"/>
          <w:spacing w:val="-3"/>
          <w:szCs w:val="24"/>
        </w:rPr>
        <w:t xml:space="preserve">Accepting the certifications as timely filed negates the requirement to re-open the claimant’s claim on June 13, 2021.  Since the claimant’s initial </w:t>
      </w:r>
      <w:r w:rsidR="00F53257">
        <w:rPr>
          <w:rFonts w:ascii="Bookman Old Style" w:hAnsi="Bookman Old Style"/>
          <w:spacing w:val="-3"/>
          <w:szCs w:val="24"/>
        </w:rPr>
        <w:t xml:space="preserve">claim </w:t>
      </w:r>
      <w:r>
        <w:rPr>
          <w:rFonts w:ascii="Bookman Old Style" w:hAnsi="Bookman Old Style"/>
          <w:spacing w:val="-3"/>
          <w:szCs w:val="24"/>
        </w:rPr>
        <w:t xml:space="preserve">was open and the claimant filed a timely certification to claim benefits for the week ending June 12, 2020, the claimant is eligible for benefits for that week.  </w:t>
      </w:r>
    </w:p>
    <w:p w14:paraId="6BBA5A09" w14:textId="77777777" w:rsidR="005A281D" w:rsidRPr="003B2AE9" w:rsidRDefault="005A281D" w:rsidP="003B2AE9">
      <w:pPr>
        <w:tabs>
          <w:tab w:val="left" w:pos="-1440"/>
          <w:tab w:val="left" w:pos="-720"/>
        </w:tabs>
        <w:rPr>
          <w:rFonts w:ascii="Bookman Old Style" w:hAnsi="Bookman Old Style"/>
          <w:szCs w:val="24"/>
        </w:rPr>
      </w:pPr>
    </w:p>
    <w:p w14:paraId="671CFE5B"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14:paraId="5E56E942" w14:textId="77777777" w:rsidR="005A281D" w:rsidRPr="003B2AE9" w:rsidRDefault="005A281D" w:rsidP="003B2AE9">
      <w:pPr>
        <w:tabs>
          <w:tab w:val="left" w:pos="-1440"/>
          <w:tab w:val="left" w:pos="-720"/>
        </w:tabs>
        <w:rPr>
          <w:rFonts w:ascii="Bookman Old Style" w:hAnsi="Bookman Old Style"/>
          <w:szCs w:val="24"/>
        </w:rPr>
      </w:pPr>
    </w:p>
    <w:p w14:paraId="473F8103" w14:textId="048CAD92"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 issued on</w:t>
      </w:r>
      <w:r w:rsidR="00FA63D7">
        <w:rPr>
          <w:rFonts w:ascii="Bookman Old Style" w:hAnsi="Bookman Old Style"/>
          <w:szCs w:val="24"/>
        </w:rPr>
        <w:t xml:space="preserve"> </w:t>
      </w:r>
      <w:r w:rsidR="00F53257">
        <w:rPr>
          <w:rFonts w:ascii="Bookman Old Style" w:hAnsi="Bookman Old Style"/>
          <w:szCs w:val="24"/>
        </w:rPr>
        <w:t>June 2</w:t>
      </w:r>
      <w:r w:rsidR="00FA63D7">
        <w:rPr>
          <w:rFonts w:ascii="Bookman Old Style" w:hAnsi="Bookman Old Style"/>
          <w:szCs w:val="24"/>
        </w:rPr>
        <w:t xml:space="preserve">, </w:t>
      </w:r>
      <w:proofErr w:type="gramStart"/>
      <w:r w:rsidR="00FA63D7">
        <w:rPr>
          <w:rFonts w:ascii="Bookman Old Style" w:hAnsi="Bookman Old Style"/>
          <w:szCs w:val="24"/>
        </w:rPr>
        <w:t>2021</w:t>
      </w:r>
      <w:proofErr w:type="gramEnd"/>
      <w:r w:rsidRPr="00E663B4">
        <w:rPr>
          <w:rFonts w:ascii="Bookman Old Style" w:hAnsi="Bookman Old Style"/>
          <w:szCs w:val="24"/>
        </w:rPr>
        <w:t xml:space="preserve"> is </w:t>
      </w:r>
      <w:r w:rsidR="00F53257">
        <w:rPr>
          <w:rFonts w:ascii="Bookman Old Style" w:hAnsi="Bookman Old Style"/>
          <w:b/>
          <w:szCs w:val="24"/>
        </w:rPr>
        <w:t>AFFIRMED</w:t>
      </w:r>
      <w:r w:rsidRPr="00E663B4">
        <w:rPr>
          <w:rFonts w:ascii="Bookman Old Style" w:hAnsi="Bookman Old Style"/>
          <w:szCs w:val="24"/>
        </w:rPr>
        <w:t xml:space="preserve">. Benefits </w:t>
      </w:r>
      <w:r w:rsidR="00F53257">
        <w:rPr>
          <w:rFonts w:ascii="Bookman Old Style" w:hAnsi="Bookman Old Style"/>
          <w:szCs w:val="24"/>
        </w:rPr>
        <w:t>remain</w:t>
      </w:r>
      <w:r w:rsidRPr="00E663B4">
        <w:rPr>
          <w:rFonts w:ascii="Bookman Old Style" w:hAnsi="Bookman Old Style"/>
          <w:szCs w:val="24"/>
        </w:rPr>
        <w:t xml:space="preserve"> </w:t>
      </w:r>
      <w:r w:rsidR="00F53257">
        <w:rPr>
          <w:rFonts w:ascii="Bookman Old Style" w:hAnsi="Bookman Old Style"/>
          <w:b/>
          <w:szCs w:val="24"/>
        </w:rPr>
        <w:t>DENIED</w:t>
      </w:r>
      <w:r w:rsidRPr="00E663B4">
        <w:rPr>
          <w:rFonts w:ascii="Bookman Old Style" w:hAnsi="Bookman Old Style"/>
          <w:szCs w:val="24"/>
        </w:rPr>
        <w:t xml:space="preserve"> for the week ending </w:t>
      </w:r>
      <w:r w:rsidR="00FA63D7">
        <w:rPr>
          <w:rFonts w:ascii="Bookman Old Style" w:hAnsi="Bookman Old Style"/>
          <w:szCs w:val="24"/>
        </w:rPr>
        <w:t xml:space="preserve">May </w:t>
      </w:r>
      <w:r w:rsidR="00F53257">
        <w:rPr>
          <w:rFonts w:ascii="Bookman Old Style" w:hAnsi="Bookman Old Style"/>
          <w:szCs w:val="24"/>
        </w:rPr>
        <w:t>8</w:t>
      </w:r>
      <w:r w:rsidR="00FA63D7">
        <w:rPr>
          <w:rFonts w:ascii="Bookman Old Style" w:hAnsi="Bookman Old Style"/>
          <w:szCs w:val="24"/>
        </w:rPr>
        <w:t>, 2021</w:t>
      </w:r>
      <w:r w:rsidRPr="00E663B4">
        <w:rPr>
          <w:rFonts w:ascii="Bookman Old Style" w:hAnsi="Bookman Old Style"/>
          <w:szCs w:val="24"/>
        </w:rPr>
        <w:t>.</w:t>
      </w:r>
    </w:p>
    <w:p w14:paraId="6A45297A" w14:textId="457E9AB8" w:rsidR="003B2AE9" w:rsidRDefault="003B2AE9" w:rsidP="003B2AE9">
      <w:pPr>
        <w:rPr>
          <w:rFonts w:ascii="Bookman Old Style" w:hAnsi="Bookman Old Style"/>
          <w:szCs w:val="24"/>
        </w:rPr>
      </w:pPr>
      <w:r>
        <w:rPr>
          <w:rFonts w:ascii="Bookman Old Style" w:hAnsi="Bookman Old Style"/>
          <w:szCs w:val="24"/>
        </w:rPr>
        <w:t xml:space="preserve"> </w:t>
      </w:r>
    </w:p>
    <w:p w14:paraId="25026D25" w14:textId="6921F849" w:rsidR="00F53257" w:rsidRDefault="00F53257" w:rsidP="003B2AE9">
      <w:pPr>
        <w:rPr>
          <w:rFonts w:ascii="Bookman Old Style" w:hAnsi="Bookman Old Style"/>
          <w:szCs w:val="24"/>
        </w:rPr>
      </w:pPr>
    </w:p>
    <w:p w14:paraId="23F74427" w14:textId="77777777" w:rsidR="00F53257" w:rsidRPr="00332F93" w:rsidRDefault="00F53257" w:rsidP="00F53257">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 issued on</w:t>
      </w:r>
      <w:r>
        <w:rPr>
          <w:rFonts w:ascii="Bookman Old Style" w:hAnsi="Bookman Old Style"/>
          <w:szCs w:val="24"/>
        </w:rPr>
        <w:t xml:space="preserve"> June</w:t>
      </w:r>
      <w:r w:rsidRPr="00E663B4">
        <w:rPr>
          <w:rFonts w:ascii="Bookman Old Style" w:hAnsi="Bookman Old Style"/>
          <w:szCs w:val="24"/>
        </w:rPr>
        <w:t xml:space="preserve"> </w:t>
      </w:r>
      <w:r>
        <w:rPr>
          <w:rFonts w:ascii="Bookman Old Style" w:hAnsi="Bookman Old Style"/>
          <w:szCs w:val="24"/>
        </w:rPr>
        <w:t xml:space="preserve">17, </w:t>
      </w:r>
      <w:proofErr w:type="gramStart"/>
      <w:r>
        <w:rPr>
          <w:rFonts w:ascii="Bookman Old Style" w:hAnsi="Bookman Old Style"/>
          <w:szCs w:val="24"/>
        </w:rPr>
        <w:t>2021</w:t>
      </w:r>
      <w:proofErr w:type="gramEnd"/>
      <w:r w:rsidRPr="00E663B4">
        <w:rPr>
          <w:rFonts w:ascii="Bookman Old Style" w:hAnsi="Bookman Old Style"/>
          <w:szCs w:val="24"/>
        </w:rPr>
        <w:t xml:space="preserve"> is </w:t>
      </w:r>
      <w:r>
        <w:rPr>
          <w:rFonts w:ascii="Bookman Old Style" w:hAnsi="Bookman Old Style"/>
          <w:b/>
          <w:szCs w:val="24"/>
        </w:rPr>
        <w:t>REVERSED</w:t>
      </w:r>
      <w:r w:rsidRPr="00E663B4">
        <w:rPr>
          <w:rFonts w:ascii="Bookman Old Style" w:hAnsi="Bookman Old Style"/>
          <w:szCs w:val="24"/>
        </w:rPr>
        <w:t xml:space="preserve">. Benefits are </w:t>
      </w:r>
      <w:r>
        <w:rPr>
          <w:rFonts w:ascii="Bookman Old Style" w:hAnsi="Bookman Old Style"/>
          <w:b/>
          <w:szCs w:val="24"/>
        </w:rPr>
        <w:t>ALLOWED</w:t>
      </w:r>
      <w:r w:rsidRPr="00E663B4">
        <w:rPr>
          <w:rFonts w:ascii="Bookman Old Style" w:hAnsi="Bookman Old Style"/>
          <w:szCs w:val="24"/>
        </w:rPr>
        <w:t xml:space="preserve"> for the weeks ending </w:t>
      </w:r>
      <w:r>
        <w:rPr>
          <w:rFonts w:ascii="Bookman Old Style" w:hAnsi="Bookman Old Style"/>
          <w:szCs w:val="24"/>
        </w:rPr>
        <w:t xml:space="preserve">May 15, </w:t>
      </w:r>
      <w:proofErr w:type="gramStart"/>
      <w:r>
        <w:rPr>
          <w:rFonts w:ascii="Bookman Old Style" w:hAnsi="Bookman Old Style"/>
          <w:szCs w:val="24"/>
        </w:rPr>
        <w:t>2021</w:t>
      </w:r>
      <w:proofErr w:type="gramEnd"/>
      <w:r>
        <w:rPr>
          <w:rFonts w:ascii="Bookman Old Style" w:hAnsi="Bookman Old Style"/>
          <w:szCs w:val="24"/>
        </w:rPr>
        <w:t xml:space="preserve"> through June 5, 2021, if the claimant is otherwise eligible</w:t>
      </w:r>
      <w:r w:rsidRPr="00E663B4">
        <w:rPr>
          <w:rFonts w:ascii="Bookman Old Style" w:hAnsi="Bookman Old Style"/>
          <w:szCs w:val="24"/>
        </w:rPr>
        <w:t>.</w:t>
      </w:r>
    </w:p>
    <w:p w14:paraId="5FFE62C9" w14:textId="77777777" w:rsidR="00F53257" w:rsidRDefault="00F53257" w:rsidP="00F53257">
      <w:pPr>
        <w:rPr>
          <w:rFonts w:ascii="Bookman Old Style" w:hAnsi="Bookman Old Style"/>
          <w:szCs w:val="24"/>
        </w:rPr>
      </w:pPr>
      <w:r>
        <w:rPr>
          <w:rFonts w:ascii="Bookman Old Style" w:hAnsi="Bookman Old Style"/>
          <w:szCs w:val="24"/>
        </w:rPr>
        <w:t xml:space="preserve"> </w:t>
      </w:r>
    </w:p>
    <w:p w14:paraId="67BB23BF" w14:textId="11574E93" w:rsidR="00FA63D7" w:rsidRDefault="00FA63D7" w:rsidP="003B2AE9">
      <w:pPr>
        <w:rPr>
          <w:rFonts w:ascii="Bookman Old Style" w:hAnsi="Bookman Old Style"/>
          <w:szCs w:val="24"/>
        </w:rPr>
      </w:pPr>
    </w:p>
    <w:p w14:paraId="648FC221" w14:textId="23EB6EA4" w:rsidR="00FA63D7" w:rsidRPr="00332F93" w:rsidRDefault="00FA63D7" w:rsidP="00FA63D7">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Pr>
          <w:rFonts w:ascii="Bookman Old Style" w:hAnsi="Bookman Old Style"/>
          <w:szCs w:val="24"/>
        </w:rPr>
        <w:t xml:space="preserve">June 16, </w:t>
      </w:r>
      <w:proofErr w:type="gramStart"/>
      <w:r>
        <w:rPr>
          <w:rFonts w:ascii="Bookman Old Style" w:hAnsi="Bookman Old Style"/>
          <w:szCs w:val="24"/>
        </w:rPr>
        <w:t>2021</w:t>
      </w:r>
      <w:proofErr w:type="gramEnd"/>
      <w:r w:rsidRPr="00E663B4">
        <w:rPr>
          <w:rFonts w:ascii="Bookman Old Style" w:hAnsi="Bookman Old Style"/>
          <w:szCs w:val="24"/>
        </w:rPr>
        <w:t xml:space="preserve"> is </w:t>
      </w:r>
      <w:r>
        <w:rPr>
          <w:rFonts w:ascii="Bookman Old Style" w:hAnsi="Bookman Old Style"/>
          <w:b/>
          <w:szCs w:val="24"/>
        </w:rPr>
        <w:t>REVERSED</w:t>
      </w:r>
      <w:r w:rsidRPr="00E663B4">
        <w:rPr>
          <w:rFonts w:ascii="Bookman Old Style" w:hAnsi="Bookman Old Style"/>
          <w:szCs w:val="24"/>
        </w:rPr>
        <w:t xml:space="preserve">. Benefits are </w:t>
      </w:r>
      <w:r>
        <w:rPr>
          <w:rFonts w:ascii="Bookman Old Style" w:hAnsi="Bookman Old Style"/>
          <w:b/>
          <w:szCs w:val="24"/>
        </w:rPr>
        <w:t>ALLOWED</w:t>
      </w:r>
      <w:r w:rsidRPr="00E663B4">
        <w:rPr>
          <w:rFonts w:ascii="Bookman Old Style" w:hAnsi="Bookman Old Style"/>
          <w:szCs w:val="24"/>
        </w:rPr>
        <w:t xml:space="preserve"> for the week ending </w:t>
      </w:r>
      <w:r>
        <w:rPr>
          <w:rFonts w:ascii="Bookman Old Style" w:hAnsi="Bookman Old Style"/>
          <w:szCs w:val="24"/>
        </w:rPr>
        <w:t>June 12, 2021, if the claimant is otherwise eligible</w:t>
      </w:r>
      <w:r w:rsidRPr="00E663B4">
        <w:rPr>
          <w:rFonts w:ascii="Bookman Old Style" w:hAnsi="Bookman Old Style"/>
          <w:szCs w:val="24"/>
        </w:rPr>
        <w:t>.</w:t>
      </w:r>
    </w:p>
    <w:p w14:paraId="5D6E1E5D" w14:textId="77777777" w:rsidR="00FA63D7" w:rsidRDefault="00FA63D7" w:rsidP="003B2AE9">
      <w:pPr>
        <w:rPr>
          <w:rFonts w:ascii="Bookman Old Style" w:hAnsi="Bookman Old Style"/>
          <w:szCs w:val="24"/>
        </w:rPr>
      </w:pPr>
    </w:p>
    <w:p w14:paraId="7A5521E8" w14:textId="77777777" w:rsidR="005A281D" w:rsidRPr="003B2AE9" w:rsidRDefault="005A281D" w:rsidP="003B2AE9">
      <w:pPr>
        <w:tabs>
          <w:tab w:val="left" w:pos="-1440"/>
          <w:tab w:val="left" w:pos="-720"/>
        </w:tabs>
        <w:rPr>
          <w:rFonts w:ascii="Bookman Old Style" w:hAnsi="Bookman Old Style"/>
          <w:szCs w:val="24"/>
        </w:rPr>
      </w:pPr>
    </w:p>
    <w:p w14:paraId="2F02B366"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14:paraId="15A91C1C" w14:textId="77777777" w:rsidR="005A281D" w:rsidRPr="003B2AE9" w:rsidRDefault="005A281D" w:rsidP="003B2AE9">
      <w:pPr>
        <w:tabs>
          <w:tab w:val="left" w:pos="-1440"/>
          <w:tab w:val="left" w:pos="-720"/>
        </w:tabs>
        <w:rPr>
          <w:rFonts w:ascii="Bookman Old Style" w:hAnsi="Bookman Old Style"/>
          <w:szCs w:val="24"/>
        </w:rPr>
      </w:pPr>
    </w:p>
    <w:p w14:paraId="13A81FAA" w14:textId="77777777"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3D366CB" w14:textId="77777777" w:rsidR="005A281D" w:rsidRPr="003B2AE9" w:rsidRDefault="005A281D" w:rsidP="003B2AE9">
      <w:pPr>
        <w:tabs>
          <w:tab w:val="left" w:pos="-1440"/>
          <w:tab w:val="left" w:pos="-720"/>
        </w:tabs>
        <w:rPr>
          <w:rFonts w:ascii="Bookman Old Style" w:hAnsi="Bookman Old Style"/>
          <w:szCs w:val="24"/>
        </w:rPr>
      </w:pPr>
    </w:p>
    <w:p w14:paraId="501B4FC3" w14:textId="5E38A46E"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FA63D7">
        <w:rPr>
          <w:rFonts w:ascii="Bookman Old Style" w:hAnsi="Bookman Old Style"/>
          <w:szCs w:val="24"/>
        </w:rPr>
        <w:t>September 10, 2021</w:t>
      </w:r>
      <w:r w:rsidR="005A281D" w:rsidRPr="003B2AE9">
        <w:rPr>
          <w:rFonts w:ascii="Bookman Old Style" w:hAnsi="Bookman Old Style"/>
          <w:szCs w:val="24"/>
        </w:rPr>
        <w:t>.</w:t>
      </w:r>
    </w:p>
    <w:p w14:paraId="42CFD9C3" w14:textId="77777777" w:rsidR="005A281D" w:rsidRPr="003B2AE9" w:rsidRDefault="005A281D" w:rsidP="003B2AE9">
      <w:pPr>
        <w:tabs>
          <w:tab w:val="left" w:pos="-1440"/>
          <w:tab w:val="left" w:pos="-720"/>
        </w:tabs>
        <w:rPr>
          <w:rFonts w:ascii="Bookman Old Style" w:hAnsi="Bookman Old Style"/>
          <w:szCs w:val="24"/>
        </w:rPr>
      </w:pPr>
    </w:p>
    <w:p w14:paraId="3AE1D339" w14:textId="77777777"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14:paraId="04711331" w14:textId="77777777" w:rsidR="00B91349" w:rsidRPr="003B2AE9" w:rsidRDefault="00B91349" w:rsidP="003B2AE9">
      <w:pPr>
        <w:tabs>
          <w:tab w:val="left" w:pos="-1440"/>
          <w:tab w:val="left" w:pos="-720"/>
        </w:tabs>
        <w:rPr>
          <w:rFonts w:ascii="Bookman Old Style" w:hAnsi="Bookman Old Style"/>
          <w:szCs w:val="24"/>
        </w:rPr>
      </w:pPr>
    </w:p>
    <w:p w14:paraId="00F9FE58" w14:textId="77777777" w:rsidR="00B91349" w:rsidRPr="003B2AE9" w:rsidRDefault="00B91349" w:rsidP="003B2AE9">
      <w:pPr>
        <w:tabs>
          <w:tab w:val="left" w:pos="-1440"/>
          <w:tab w:val="left" w:pos="-720"/>
        </w:tabs>
        <w:rPr>
          <w:rFonts w:ascii="Bookman Old Style" w:hAnsi="Bookman Old Style"/>
          <w:szCs w:val="24"/>
        </w:rPr>
      </w:pPr>
    </w:p>
    <w:p w14:paraId="119F2AA6" w14:textId="26B65B37"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FA63D7">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EDA6" w14:textId="77777777" w:rsidR="00EE1C2D" w:rsidRDefault="00EE1C2D">
      <w:pPr>
        <w:widowControl/>
        <w:spacing w:line="20" w:lineRule="exact"/>
      </w:pPr>
    </w:p>
  </w:endnote>
  <w:endnote w:type="continuationSeparator" w:id="0">
    <w:p w14:paraId="1CEA1AFD" w14:textId="77777777" w:rsidR="00EE1C2D" w:rsidRDefault="00EE1C2D">
      <w:r>
        <w:t xml:space="preserve"> </w:t>
      </w:r>
    </w:p>
  </w:endnote>
  <w:endnote w:type="continuationNotice" w:id="1">
    <w:p w14:paraId="738FE3CD" w14:textId="77777777" w:rsidR="00EE1C2D" w:rsidRDefault="00EE1C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F6DA" w14:textId="77777777" w:rsidR="00EE1C2D" w:rsidRDefault="00EE1C2D">
      <w:r>
        <w:separator/>
      </w:r>
    </w:p>
  </w:footnote>
  <w:footnote w:type="continuationSeparator" w:id="0">
    <w:p w14:paraId="09DEA50D" w14:textId="77777777" w:rsidR="00EE1C2D" w:rsidRDefault="00EE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B695" w14:textId="4043244A"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4F10A8">
      <w:rPr>
        <w:rFonts w:ascii="Bookman Old Style" w:hAnsi="Bookman Old Style"/>
      </w:rPr>
      <w:t>21 124</w:t>
    </w:r>
    <w:r w:rsidR="00F625D7">
      <w:rPr>
        <w:rFonts w:ascii="Bookman Old Style" w:hAnsi="Bookman Old Style"/>
      </w:rPr>
      <w:t>1</w:t>
    </w:r>
  </w:p>
  <w:p w14:paraId="2E1347EC"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6717D5">
      <w:rPr>
        <w:rStyle w:val="PageNumber"/>
        <w:rFonts w:ascii="Bookman Old Style" w:hAnsi="Bookman Old Style"/>
        <w:noProof/>
      </w:rPr>
      <w:t>3</w:t>
    </w:r>
    <w:r w:rsidRPr="00172486">
      <w:rPr>
        <w:rStyle w:val="PageNumber"/>
        <w:rFonts w:ascii="Bookman Old Style" w:hAnsi="Bookman Old Style"/>
      </w:rPr>
      <w:fldChar w:fldCharType="end"/>
    </w:r>
  </w:p>
  <w:p w14:paraId="34BB01C0"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C2D"/>
    <w:rsid w:val="00043A6F"/>
    <w:rsid w:val="000B12C4"/>
    <w:rsid w:val="000D3B41"/>
    <w:rsid w:val="000F5712"/>
    <w:rsid w:val="00172486"/>
    <w:rsid w:val="001B4C99"/>
    <w:rsid w:val="001E771F"/>
    <w:rsid w:val="002A3C37"/>
    <w:rsid w:val="002C0B80"/>
    <w:rsid w:val="002C42D3"/>
    <w:rsid w:val="002D5A94"/>
    <w:rsid w:val="002F16BC"/>
    <w:rsid w:val="00344FD9"/>
    <w:rsid w:val="0035283E"/>
    <w:rsid w:val="00382877"/>
    <w:rsid w:val="003B2AE9"/>
    <w:rsid w:val="003C1DD2"/>
    <w:rsid w:val="00443716"/>
    <w:rsid w:val="00470A5B"/>
    <w:rsid w:val="004F10A8"/>
    <w:rsid w:val="00524185"/>
    <w:rsid w:val="00573AB1"/>
    <w:rsid w:val="005A281D"/>
    <w:rsid w:val="005A386F"/>
    <w:rsid w:val="005E6526"/>
    <w:rsid w:val="006717D5"/>
    <w:rsid w:val="006D0CF8"/>
    <w:rsid w:val="00712875"/>
    <w:rsid w:val="00774034"/>
    <w:rsid w:val="007A58C9"/>
    <w:rsid w:val="00800B80"/>
    <w:rsid w:val="00814E0A"/>
    <w:rsid w:val="008B1CA2"/>
    <w:rsid w:val="00960177"/>
    <w:rsid w:val="009E78C1"/>
    <w:rsid w:val="00A154E0"/>
    <w:rsid w:val="00A2415E"/>
    <w:rsid w:val="00A462BD"/>
    <w:rsid w:val="00A51C81"/>
    <w:rsid w:val="00A846B9"/>
    <w:rsid w:val="00AA1DFF"/>
    <w:rsid w:val="00B317D0"/>
    <w:rsid w:val="00B74186"/>
    <w:rsid w:val="00B74F21"/>
    <w:rsid w:val="00B91349"/>
    <w:rsid w:val="00C47467"/>
    <w:rsid w:val="00C96464"/>
    <w:rsid w:val="00CE28A0"/>
    <w:rsid w:val="00D025D4"/>
    <w:rsid w:val="00D829CE"/>
    <w:rsid w:val="00D962E2"/>
    <w:rsid w:val="00DA59C2"/>
    <w:rsid w:val="00DD54FF"/>
    <w:rsid w:val="00E137D6"/>
    <w:rsid w:val="00EB2E39"/>
    <w:rsid w:val="00EE1C2D"/>
    <w:rsid w:val="00F53257"/>
    <w:rsid w:val="00F625D7"/>
    <w:rsid w:val="00F95038"/>
    <w:rsid w:val="00FA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014CA8"/>
  <w15:chartTrackingRefBased/>
  <w15:docId w15:val="{F3CDF4EA-1CE8-435B-8C95-57B3B23B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66%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63-66 Backdate</Template>
  <TotalTime>1</TotalTime>
  <Pages>5</Pages>
  <Words>1948</Words>
  <Characters>9449</Characters>
  <Application>Microsoft Office Word</Application>
  <DocSecurity>0</DocSecurity>
  <Lines>236</Lines>
  <Paragraphs>88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2021-09-10T18:18:00Z</dcterms:created>
  <dcterms:modified xsi:type="dcterms:W3CDTF">2021-09-10T18:18:00Z</dcterms:modified>
</cp:coreProperties>
</file>