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304946" w:rsidRDefault="00C03E8B" w:rsidP="00304946">
      <w:pPr>
        <w:widowControl/>
        <w:tabs>
          <w:tab w:val="center" w:pos="4680"/>
        </w:tabs>
        <w:suppressAutoHyphens/>
        <w:jc w:val="center"/>
        <w:rPr>
          <w:rFonts w:ascii="Bookman Old Style" w:hAnsi="Bookman Old Style"/>
          <w:b/>
          <w:szCs w:val="24"/>
        </w:rPr>
      </w:pPr>
      <w:r>
        <w:rPr>
          <w:noProof/>
        </w:rPr>
        <w:drawing>
          <wp:anchor distT="0" distB="0" distL="114300" distR="114300" simplePos="0" relativeHeight="251657728" behindDoc="1" locked="0" layoutInCell="1" allowOverlap="1">
            <wp:simplePos x="0" y="0"/>
            <wp:positionH relativeFrom="column">
              <wp:posOffset>-474980</wp:posOffset>
            </wp:positionH>
            <wp:positionV relativeFrom="paragraph">
              <wp:posOffset>-267335</wp:posOffset>
            </wp:positionV>
            <wp:extent cx="7453630" cy="1750060"/>
            <wp:effectExtent l="0" t="0" r="0" b="0"/>
            <wp:wrapNone/>
            <wp:docPr id="3"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widowControl/>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rsidR="00780095" w:rsidRPr="00304946" w:rsidRDefault="00780095" w:rsidP="00304946">
      <w:pPr>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95267F">
        <w:rPr>
          <w:rFonts w:ascii="Bookman Old Style" w:hAnsi="Bookman Old Style"/>
          <w:szCs w:val="24"/>
        </w:rPr>
        <w:t>21 1367</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95267F">
        <w:rPr>
          <w:rFonts w:ascii="Bookman Old Style" w:hAnsi="Bookman Old Style"/>
          <w:szCs w:val="24"/>
        </w:rPr>
        <w:t>November 16, 2021</w:t>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780095" w:rsidP="00304946">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t>EMPLOYER:</w:t>
      </w:r>
      <w:r w:rsidRPr="00304946">
        <w:rPr>
          <w:rFonts w:ascii="Bookman Old Style" w:hAnsi="Bookman Old Style"/>
          <w:b/>
          <w:szCs w:val="24"/>
        </w:rPr>
        <w:tab/>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Default="0095267F"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DEBORAH ANINGAYOU</w:t>
      </w:r>
      <w:r w:rsidR="004F7405" w:rsidRPr="00304946">
        <w:rPr>
          <w:rFonts w:ascii="Bookman Old Style" w:hAnsi="Bookman Old Style"/>
          <w:szCs w:val="24"/>
        </w:rPr>
        <w:tab/>
      </w:r>
      <w:r>
        <w:rPr>
          <w:rFonts w:ascii="Bookman Old Style" w:hAnsi="Bookman Old Style"/>
          <w:szCs w:val="24"/>
        </w:rPr>
        <w:t>NOME COMMUNITY CENTER</w:t>
      </w:r>
    </w:p>
    <w:p w:rsidR="00780095" w:rsidRDefault="00780095" w:rsidP="00304946">
      <w:pPr>
        <w:tabs>
          <w:tab w:val="left" w:pos="-1440"/>
          <w:tab w:val="left" w:pos="-720"/>
          <w:tab w:val="left" w:pos="0"/>
          <w:tab w:val="left" w:pos="5760"/>
        </w:tabs>
        <w:suppressAutoHyphens/>
        <w:ind w:right="-360"/>
        <w:rPr>
          <w:rFonts w:ascii="Bookman Old Style" w:hAnsi="Bookman Old Style"/>
          <w:szCs w:val="24"/>
        </w:rPr>
      </w:pPr>
    </w:p>
    <w:p w:rsidR="00227B89" w:rsidRDefault="00227B89" w:rsidP="00304946">
      <w:pPr>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227B89" w:rsidRPr="00304946" w:rsidRDefault="00227B89"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r w:rsidR="004F7405" w:rsidRPr="00304946">
        <w:rPr>
          <w:rFonts w:ascii="Bookman Old Style" w:hAnsi="Bookman Old Style"/>
          <w:b/>
          <w:szCs w:val="24"/>
        </w:rPr>
        <w:t>EMPLOYER</w:t>
      </w:r>
      <w:r w:rsidR="00E13AAA" w:rsidRPr="00304946">
        <w:rPr>
          <w:rFonts w:ascii="Bookman Old Style" w:hAnsi="Bookman Old Style"/>
          <w:b/>
          <w:szCs w:val="24"/>
        </w:rPr>
        <w:t xml:space="preserve"> APPEARANCES:</w:t>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95267F"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Deborah Aningayou</w:t>
      </w:r>
      <w:r w:rsidR="00780095" w:rsidRPr="00304946">
        <w:rPr>
          <w:rFonts w:ascii="Bookman Old Style" w:hAnsi="Bookman Old Style"/>
          <w:szCs w:val="24"/>
        </w:rPr>
        <w:tab/>
      </w:r>
      <w:r>
        <w:rPr>
          <w:rFonts w:ascii="Bookman Old Style" w:hAnsi="Bookman Old Style"/>
          <w:szCs w:val="24"/>
        </w:rPr>
        <w:t>None</w:t>
      </w:r>
    </w:p>
    <w:p w:rsidR="004F740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p>
    <w:p w:rsidR="0078796F" w:rsidRPr="00304946" w:rsidRDefault="00780095" w:rsidP="00304946">
      <w:pPr>
        <w:pStyle w:val="Heading4"/>
        <w:jc w:val="center"/>
        <w:rPr>
          <w:rFonts w:ascii="Bookman Old Style" w:hAnsi="Bookman Old Style"/>
          <w:i w:val="0"/>
          <w:color w:val="auto"/>
          <w:szCs w:val="24"/>
        </w:rPr>
      </w:pPr>
      <w:r w:rsidRPr="00304946">
        <w:rPr>
          <w:rFonts w:ascii="Bookman Old Style" w:hAnsi="Bookman Old Style"/>
          <w:b w:val="0"/>
          <w:color w:val="auto"/>
          <w:szCs w:val="24"/>
        </w:rPr>
        <w:tab/>
      </w:r>
      <w:r w:rsidR="00BD2E24">
        <w:rPr>
          <w:rFonts w:ascii="Bookman Old Style" w:hAnsi="Bookman Old Style"/>
          <w:i w:val="0"/>
          <w:color w:val="auto"/>
          <w:szCs w:val="24"/>
        </w:rPr>
        <w:t>CASE HISTORY</w:t>
      </w:r>
    </w:p>
    <w:p w:rsidR="0078796F" w:rsidRPr="00304946" w:rsidRDefault="0078796F" w:rsidP="00304946">
      <w:pPr>
        <w:tabs>
          <w:tab w:val="left" w:pos="-1440"/>
          <w:tab w:val="left" w:pos="-720"/>
        </w:tabs>
        <w:rPr>
          <w:rFonts w:ascii="Bookman Old Style" w:hAnsi="Bookman Old Style"/>
          <w:szCs w:val="24"/>
        </w:rPr>
      </w:pPr>
    </w:p>
    <w:p w:rsidR="00BD2E24"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The cla</w:t>
      </w:r>
      <w:r w:rsidR="000E7714" w:rsidRPr="00304946">
        <w:rPr>
          <w:rFonts w:ascii="Bookman Old Style" w:hAnsi="Bookman Old Style"/>
          <w:szCs w:val="24"/>
        </w:rPr>
        <w:t xml:space="preserve">imant filed an appeal against </w:t>
      </w:r>
      <w:r w:rsidR="00BD2E24">
        <w:rPr>
          <w:rFonts w:ascii="Bookman Old Style" w:hAnsi="Bookman Old Style"/>
          <w:szCs w:val="24"/>
        </w:rPr>
        <w:t xml:space="preserve">two determinations. First is </w:t>
      </w:r>
      <w:r w:rsidR="000E7714" w:rsidRPr="00304946">
        <w:rPr>
          <w:rFonts w:ascii="Bookman Old Style" w:hAnsi="Bookman Old Style"/>
          <w:szCs w:val="24"/>
        </w:rPr>
        <w:t>a</w:t>
      </w:r>
      <w:r w:rsidRPr="00304946">
        <w:rPr>
          <w:rFonts w:ascii="Bookman Old Style" w:hAnsi="Bookman Old Style"/>
          <w:szCs w:val="24"/>
        </w:rPr>
        <w:t xml:space="preserve"> </w:t>
      </w:r>
      <w:r w:rsidR="0095267F">
        <w:rPr>
          <w:rFonts w:ascii="Bookman Old Style" w:hAnsi="Bookman Old Style"/>
          <w:szCs w:val="24"/>
        </w:rPr>
        <w:t>July 6, 2021</w:t>
      </w:r>
      <w:r w:rsidRPr="00304946">
        <w:rPr>
          <w:rFonts w:ascii="Bookman Old Style" w:hAnsi="Bookman Old Style"/>
          <w:szCs w:val="24"/>
        </w:rPr>
        <w:t xml:space="preserve"> dete</w:t>
      </w:r>
      <w:r w:rsidR="00304946" w:rsidRPr="00304946">
        <w:rPr>
          <w:rFonts w:ascii="Bookman Old Style" w:hAnsi="Bookman Old Style"/>
          <w:szCs w:val="24"/>
        </w:rPr>
        <w:t>rmination that denied benefits</w:t>
      </w:r>
      <w:r w:rsidRPr="00304946">
        <w:rPr>
          <w:rFonts w:ascii="Bookman Old Style" w:hAnsi="Bookman Old Style"/>
          <w:szCs w:val="24"/>
        </w:rPr>
        <w:t xml:space="preserve"> under AS 23.20.</w:t>
      </w:r>
      <w:r w:rsidR="00F82055">
        <w:rPr>
          <w:rFonts w:ascii="Bookman Old Style" w:hAnsi="Bookman Old Style"/>
          <w:szCs w:val="24"/>
        </w:rPr>
        <w:t>379</w:t>
      </w:r>
      <w:r w:rsidRPr="00304946">
        <w:rPr>
          <w:rFonts w:ascii="Bookman Old Style" w:hAnsi="Bookman Old Style"/>
          <w:szCs w:val="24"/>
        </w:rPr>
        <w:t xml:space="preserve"> on the ground that</w:t>
      </w:r>
      <w:r w:rsidR="00F82055">
        <w:rPr>
          <w:rFonts w:ascii="Bookman Old Style" w:hAnsi="Bookman Old Style"/>
          <w:szCs w:val="24"/>
        </w:rPr>
        <w:t xml:space="preserve"> the claimant voluntarily left suitable work without good cause or was discharged for work-related misconduct</w:t>
      </w:r>
      <w:r w:rsidRPr="00304946">
        <w:rPr>
          <w:rFonts w:ascii="Bookman Old Style" w:hAnsi="Bookman Old Style"/>
          <w:szCs w:val="24"/>
        </w:rPr>
        <w:t xml:space="preserve">. </w:t>
      </w:r>
      <w:r w:rsidR="00BD2E24">
        <w:rPr>
          <w:rFonts w:ascii="Bookman Old Style" w:hAnsi="Bookman Old Style"/>
          <w:szCs w:val="24"/>
        </w:rPr>
        <w:t xml:space="preserve">The second determination was issued on </w:t>
      </w:r>
      <w:r w:rsidR="0095267F">
        <w:rPr>
          <w:rFonts w:ascii="Bookman Old Style" w:hAnsi="Bookman Old Style"/>
          <w:szCs w:val="24"/>
        </w:rPr>
        <w:t>September 16, 2021</w:t>
      </w:r>
      <w:r w:rsidR="00BD2E24">
        <w:rPr>
          <w:rFonts w:ascii="Bookman Old Style" w:hAnsi="Bookman Old Style"/>
          <w:szCs w:val="24"/>
        </w:rPr>
        <w:t xml:space="preserve">, and denied the claimant’s benefits under AS 23.20.406(h), on the ground that the claimant was not eligible for extended benefits.  </w:t>
      </w:r>
    </w:p>
    <w:p w:rsidR="0078796F" w:rsidRPr="00304946" w:rsidRDefault="0078796F" w:rsidP="00304946">
      <w:pPr>
        <w:tabs>
          <w:tab w:val="left" w:pos="-1440"/>
          <w:tab w:val="left" w:pos="-720"/>
        </w:tabs>
        <w:rPr>
          <w:rFonts w:ascii="Bookman Old Style" w:hAnsi="Bookman Old Style"/>
          <w:szCs w:val="24"/>
        </w:rPr>
      </w:pPr>
    </w:p>
    <w:p w:rsidR="0078796F" w:rsidRPr="00BD2E24" w:rsidRDefault="00BD2E24" w:rsidP="00BD2E24">
      <w:pPr>
        <w:tabs>
          <w:tab w:val="left" w:pos="-1440"/>
          <w:tab w:val="left" w:pos="-720"/>
        </w:tabs>
        <w:jc w:val="center"/>
        <w:rPr>
          <w:rFonts w:ascii="Bookman Old Style" w:hAnsi="Bookman Old Style"/>
          <w:b/>
          <w:szCs w:val="24"/>
        </w:rPr>
      </w:pPr>
      <w:r w:rsidRPr="00BD2E24">
        <w:rPr>
          <w:rFonts w:ascii="Bookman Old Style" w:hAnsi="Bookman Old Style"/>
          <w:b/>
          <w:szCs w:val="24"/>
        </w:rPr>
        <w:t>FINDINGS OF FACT</w:t>
      </w:r>
    </w:p>
    <w:p w:rsidR="000E7714" w:rsidRPr="00304946" w:rsidRDefault="000E7714" w:rsidP="00304946">
      <w:pPr>
        <w:tabs>
          <w:tab w:val="left" w:pos="-1440"/>
          <w:tab w:val="left" w:pos="-720"/>
        </w:tabs>
        <w:rPr>
          <w:rFonts w:ascii="Bookman Old Style" w:hAnsi="Bookman Old Style"/>
          <w:szCs w:val="24"/>
        </w:rPr>
      </w:pPr>
    </w:p>
    <w:p w:rsidR="00426766" w:rsidRDefault="00426766" w:rsidP="00426766">
      <w:pPr>
        <w:widowControl/>
        <w:tabs>
          <w:tab w:val="left" w:pos="-1440"/>
          <w:tab w:val="left" w:pos="-720"/>
        </w:tabs>
        <w:rPr>
          <w:rFonts w:ascii="Bookman Old Style" w:hAnsi="Bookman Old Style"/>
          <w:szCs w:val="24"/>
        </w:rPr>
      </w:pPr>
      <w:r>
        <w:rPr>
          <w:rFonts w:ascii="Bookman Old Style" w:hAnsi="Bookman Old Style"/>
          <w:szCs w:val="24"/>
        </w:rPr>
        <w:t xml:space="preserve">The claimant began work for the employer </w:t>
      </w:r>
      <w:r w:rsidR="005C1A5F">
        <w:rPr>
          <w:rFonts w:ascii="Bookman Old Style" w:hAnsi="Bookman Old Style"/>
          <w:szCs w:val="24"/>
        </w:rPr>
        <w:t>i</w:t>
      </w:r>
      <w:r>
        <w:rPr>
          <w:rFonts w:ascii="Bookman Old Style" w:hAnsi="Bookman Old Style"/>
          <w:szCs w:val="24"/>
        </w:rPr>
        <w:t xml:space="preserve">n </w:t>
      </w:r>
      <w:r w:rsidR="005C1A5F">
        <w:rPr>
          <w:rFonts w:ascii="Bookman Old Style" w:hAnsi="Bookman Old Style"/>
          <w:szCs w:val="24"/>
        </w:rPr>
        <w:t>November 2013</w:t>
      </w:r>
      <w:r>
        <w:rPr>
          <w:rFonts w:ascii="Bookman Old Style" w:hAnsi="Bookman Old Style"/>
          <w:szCs w:val="24"/>
        </w:rPr>
        <w:t xml:space="preserve">. </w:t>
      </w:r>
      <w:r w:rsidR="005C1A5F">
        <w:rPr>
          <w:rFonts w:ascii="Bookman Old Style" w:hAnsi="Bookman Old Style"/>
          <w:szCs w:val="24"/>
        </w:rPr>
        <w:t>She</w:t>
      </w:r>
      <w:r>
        <w:rPr>
          <w:rFonts w:ascii="Bookman Old Style" w:hAnsi="Bookman Old Style"/>
          <w:szCs w:val="24"/>
        </w:rPr>
        <w:t xml:space="preserve"> last worked on </w:t>
      </w:r>
      <w:r w:rsidR="005C1A5F">
        <w:rPr>
          <w:rFonts w:ascii="Bookman Old Style" w:hAnsi="Bookman Old Style"/>
          <w:szCs w:val="24"/>
        </w:rPr>
        <w:t>or about November 24, 2020</w:t>
      </w:r>
      <w:r>
        <w:rPr>
          <w:rFonts w:ascii="Bookman Old Style" w:hAnsi="Bookman Old Style"/>
          <w:szCs w:val="24"/>
        </w:rPr>
        <w:t xml:space="preserve">. At that time, </w:t>
      </w:r>
      <w:r w:rsidR="005C1A5F">
        <w:rPr>
          <w:rFonts w:ascii="Bookman Old Style" w:hAnsi="Bookman Old Style"/>
          <w:szCs w:val="24"/>
        </w:rPr>
        <w:t>she</w:t>
      </w:r>
      <w:r>
        <w:rPr>
          <w:rFonts w:ascii="Bookman Old Style" w:hAnsi="Bookman Old Style"/>
          <w:szCs w:val="24"/>
        </w:rPr>
        <w:t xml:space="preserve"> worked </w:t>
      </w:r>
      <w:r w:rsidR="005C1A5F">
        <w:rPr>
          <w:rFonts w:ascii="Bookman Old Style" w:hAnsi="Bookman Old Style"/>
          <w:szCs w:val="24"/>
        </w:rPr>
        <w:t>full time</w:t>
      </w:r>
      <w:r>
        <w:rPr>
          <w:rFonts w:ascii="Bookman Old Style" w:hAnsi="Bookman Old Style"/>
          <w:szCs w:val="24"/>
        </w:rPr>
        <w:t xml:space="preserve"> as a </w:t>
      </w:r>
      <w:r w:rsidR="005C1A5F">
        <w:rPr>
          <w:rFonts w:ascii="Bookman Old Style" w:hAnsi="Bookman Old Style"/>
          <w:szCs w:val="24"/>
        </w:rPr>
        <w:t>seasonal employee</w:t>
      </w:r>
      <w:r>
        <w:rPr>
          <w:rFonts w:ascii="Bookman Old Style" w:hAnsi="Bookman Old Style"/>
          <w:szCs w:val="24"/>
        </w:rPr>
        <w:t>.</w:t>
      </w:r>
      <w:r w:rsidR="005C1A5F">
        <w:rPr>
          <w:rFonts w:ascii="Bookman Old Style" w:hAnsi="Bookman Old Style"/>
          <w:szCs w:val="24"/>
        </w:rPr>
        <w:t xml:space="preserve"> She was paid an hourly wage.</w:t>
      </w:r>
      <w:r>
        <w:rPr>
          <w:rFonts w:ascii="Bookman Old Style" w:hAnsi="Bookman Old Style"/>
          <w:szCs w:val="24"/>
        </w:rPr>
        <w:t xml:space="preserve"> The claimant established a claim for unemployment insurance benefits effective </w:t>
      </w:r>
      <w:r w:rsidR="005C1A5F">
        <w:rPr>
          <w:rFonts w:ascii="Bookman Old Style" w:hAnsi="Bookman Old Style"/>
          <w:szCs w:val="24"/>
        </w:rPr>
        <w:t>October 11, 2020</w:t>
      </w:r>
      <w:r>
        <w:rPr>
          <w:rFonts w:ascii="Bookman Old Style" w:hAnsi="Bookman Old Style"/>
          <w:szCs w:val="24"/>
        </w:rPr>
        <w:t xml:space="preserve">. </w:t>
      </w:r>
    </w:p>
    <w:p w:rsidR="005C1A5F" w:rsidRDefault="005C1A5F" w:rsidP="00426766">
      <w:pPr>
        <w:widowControl/>
        <w:tabs>
          <w:tab w:val="left" w:pos="-1440"/>
          <w:tab w:val="left" w:pos="-720"/>
        </w:tabs>
        <w:rPr>
          <w:rFonts w:ascii="Bookman Old Style" w:hAnsi="Bookman Old Style"/>
          <w:szCs w:val="24"/>
        </w:rPr>
      </w:pPr>
    </w:p>
    <w:p w:rsidR="005C1A5F" w:rsidRDefault="001F564A" w:rsidP="00426766">
      <w:pPr>
        <w:widowControl/>
        <w:tabs>
          <w:tab w:val="left" w:pos="-1440"/>
          <w:tab w:val="left" w:pos="-720"/>
        </w:tabs>
        <w:rPr>
          <w:rFonts w:ascii="Bookman Old Style" w:hAnsi="Bookman Old Style"/>
          <w:szCs w:val="24"/>
        </w:rPr>
      </w:pPr>
      <w:r>
        <w:rPr>
          <w:rFonts w:ascii="Bookman Old Style" w:hAnsi="Bookman Old Style"/>
          <w:szCs w:val="24"/>
        </w:rPr>
        <w:t>The claimant quit work because she was afraid that she might get COVID-19. The claimant and her coworkers wore masks but the clientele that they served did not wear masks. The employer advised its employees to stay home if they were sick.</w:t>
      </w:r>
    </w:p>
    <w:p w:rsidR="001F564A" w:rsidRDefault="001F564A" w:rsidP="00426766">
      <w:pPr>
        <w:widowControl/>
        <w:tabs>
          <w:tab w:val="left" w:pos="-1440"/>
          <w:tab w:val="left" w:pos="-720"/>
        </w:tabs>
        <w:rPr>
          <w:rFonts w:ascii="Bookman Old Style" w:hAnsi="Bookman Old Style"/>
          <w:szCs w:val="24"/>
        </w:rPr>
      </w:pPr>
    </w:p>
    <w:p w:rsidR="001F564A" w:rsidRDefault="001F564A" w:rsidP="00426766">
      <w:pPr>
        <w:widowControl/>
        <w:tabs>
          <w:tab w:val="left" w:pos="-1440"/>
          <w:tab w:val="left" w:pos="-720"/>
        </w:tabs>
        <w:rPr>
          <w:rFonts w:ascii="Bookman Old Style" w:hAnsi="Bookman Old Style"/>
          <w:szCs w:val="24"/>
        </w:rPr>
      </w:pPr>
      <w:r>
        <w:rPr>
          <w:rFonts w:ascii="Bookman Old Style" w:hAnsi="Bookman Old Style"/>
          <w:szCs w:val="24"/>
        </w:rPr>
        <w:t>The claimant began to have stomach issues. She went to the doctor and was given medication for the stomach issues. The doctor advised her that she did not have COVID-19. She determined that she should quit work due to the fear of catching COVID-19. The doctor did not advise her to leave work.</w:t>
      </w:r>
    </w:p>
    <w:p w:rsidR="001F564A" w:rsidRDefault="001F564A" w:rsidP="00426766">
      <w:pPr>
        <w:widowControl/>
        <w:tabs>
          <w:tab w:val="left" w:pos="-1440"/>
          <w:tab w:val="left" w:pos="-720"/>
        </w:tabs>
        <w:rPr>
          <w:rFonts w:ascii="Bookman Old Style" w:hAnsi="Bookman Old Style"/>
          <w:szCs w:val="24"/>
        </w:rPr>
      </w:pPr>
    </w:p>
    <w:p w:rsidR="001F564A" w:rsidRDefault="001F564A" w:rsidP="00426766">
      <w:pPr>
        <w:widowControl/>
        <w:tabs>
          <w:tab w:val="left" w:pos="-1440"/>
          <w:tab w:val="left" w:pos="-720"/>
        </w:tabs>
        <w:rPr>
          <w:rFonts w:ascii="Bookman Old Style" w:hAnsi="Bookman Old Style"/>
          <w:snapToGrid/>
          <w:szCs w:val="24"/>
        </w:rPr>
      </w:pPr>
      <w:r>
        <w:rPr>
          <w:rFonts w:ascii="Bookman Old Style" w:hAnsi="Bookman Old Style"/>
          <w:szCs w:val="24"/>
        </w:rPr>
        <w:t>The claimant has not worked for any employer since leaving work in November 2020.</w:t>
      </w:r>
    </w:p>
    <w:p w:rsidR="0078796F" w:rsidRPr="00304946" w:rsidRDefault="0078796F" w:rsidP="00304946">
      <w:pPr>
        <w:pStyle w:val="Heading4"/>
        <w:jc w:val="center"/>
        <w:rPr>
          <w:rFonts w:ascii="Bookman Old Style" w:hAnsi="Bookman Old Style"/>
          <w:i w:val="0"/>
          <w:color w:val="auto"/>
          <w:szCs w:val="24"/>
        </w:rPr>
      </w:pPr>
      <w:r w:rsidRPr="00304946">
        <w:rPr>
          <w:rFonts w:ascii="Bookman Old Style" w:hAnsi="Bookman Old Style"/>
          <w:i w:val="0"/>
          <w:color w:val="auto"/>
          <w:szCs w:val="24"/>
        </w:rPr>
        <w:lastRenderedPageBreak/>
        <w:t>PROVISIONS OF LAW</w:t>
      </w:r>
    </w:p>
    <w:p w:rsidR="0095267F" w:rsidRDefault="0095267F" w:rsidP="0095267F">
      <w:pPr>
        <w:pStyle w:val="Heading4"/>
        <w:rPr>
          <w:rFonts w:ascii="Bookman Old Style" w:hAnsi="Bookman Old Style"/>
          <w:i w:val="0"/>
          <w:color w:val="auto"/>
          <w:spacing w:val="-3"/>
          <w:szCs w:val="24"/>
        </w:rPr>
      </w:pPr>
      <w:r w:rsidRPr="00AB39A5">
        <w:rPr>
          <w:rFonts w:ascii="Bookman Old Style" w:hAnsi="Bookman Old Style"/>
          <w:i w:val="0"/>
          <w:color w:val="auto"/>
          <w:spacing w:val="-3"/>
          <w:szCs w:val="24"/>
        </w:rPr>
        <w:t>AS 23.20.</w:t>
      </w:r>
      <w:r>
        <w:rPr>
          <w:rFonts w:ascii="Bookman Old Style" w:hAnsi="Bookman Old Style"/>
          <w:i w:val="0"/>
          <w:color w:val="auto"/>
          <w:spacing w:val="-3"/>
          <w:szCs w:val="24"/>
        </w:rPr>
        <w:t>379</w:t>
      </w:r>
      <w:r w:rsidRPr="00AB39A5">
        <w:rPr>
          <w:rFonts w:ascii="Bookman Old Style" w:hAnsi="Bookman Old Style"/>
          <w:i w:val="0"/>
          <w:color w:val="auto"/>
          <w:spacing w:val="-3"/>
          <w:szCs w:val="24"/>
        </w:rPr>
        <w:t xml:space="preserve"> provide</w:t>
      </w:r>
      <w:r>
        <w:rPr>
          <w:rFonts w:ascii="Bookman Old Style" w:hAnsi="Bookman Old Style"/>
          <w:i w:val="0"/>
          <w:color w:val="auto"/>
          <w:spacing w:val="-3"/>
          <w:szCs w:val="24"/>
        </w:rPr>
        <w:t>s</w:t>
      </w:r>
      <w:r w:rsidRPr="00AB39A5">
        <w:rPr>
          <w:rFonts w:ascii="Bookman Old Style" w:hAnsi="Bookman Old Style"/>
          <w:i w:val="0"/>
          <w:color w:val="auto"/>
          <w:spacing w:val="-3"/>
          <w:szCs w:val="24"/>
        </w:rPr>
        <w:t xml:space="preserve"> in part:</w:t>
      </w:r>
    </w:p>
    <w:p w:rsidR="0095267F" w:rsidRPr="00BB5A6F" w:rsidRDefault="0095267F" w:rsidP="0095267F"/>
    <w:p w:rsidR="0095267F" w:rsidRDefault="0095267F" w:rsidP="0095267F">
      <w:pPr>
        <w:pStyle w:val="NormalWeb"/>
        <w:numPr>
          <w:ilvl w:val="0"/>
          <w:numId w:val="5"/>
        </w:numPr>
        <w:spacing w:before="0" w:beforeAutospacing="0" w:after="0" w:afterAutospacing="0"/>
        <w:rPr>
          <w:rFonts w:ascii="Bookman Old Style" w:hAnsi="Bookman Old Style"/>
        </w:rPr>
      </w:pPr>
      <w:r>
        <w:rPr>
          <w:rFonts w:ascii="Bookman Old Style" w:hAnsi="Bookman Old Style"/>
        </w:rPr>
        <w:t>An insured worker is disqualified for waiting-week credit or benefits for the first week in which the insured worker is unemployed and for the next five weeks of unemployment following that week if the insured worker</w:t>
      </w:r>
    </w:p>
    <w:p w:rsidR="0095267F" w:rsidRDefault="0095267F" w:rsidP="0095267F">
      <w:pPr>
        <w:pStyle w:val="NormalWeb"/>
        <w:spacing w:before="0" w:beforeAutospacing="0" w:after="0" w:afterAutospacing="0"/>
        <w:ind w:left="2160" w:hanging="1440"/>
        <w:rPr>
          <w:rFonts w:ascii="Bookman Old Style" w:hAnsi="Bookman Old Style"/>
        </w:rPr>
      </w:pPr>
      <w:r>
        <w:rPr>
          <w:noProof/>
        </w:rPr>
        <w:drawing>
          <wp:inline distT="0" distB="0" distL="0" distR="0" wp14:anchorId="3CD7CEA6" wp14:editId="3E1F8428">
            <wp:extent cx="284480" cy="10160"/>
            <wp:effectExtent l="0" t="0" r="0" b="0"/>
            <wp:docPr id="5" name="Picture 5" descr="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480" cy="10160"/>
                    </a:xfrm>
                    <a:prstGeom prst="rect">
                      <a:avLst/>
                    </a:prstGeom>
                    <a:noFill/>
                    <a:ln>
                      <a:noFill/>
                    </a:ln>
                  </pic:spPr>
                </pic:pic>
              </a:graphicData>
            </a:graphic>
          </wp:inline>
        </w:drawing>
      </w:r>
      <w:r>
        <w:rPr>
          <w:rFonts w:ascii="Bookman Old Style" w:hAnsi="Bookman Old Style"/>
        </w:rPr>
        <w:t xml:space="preserve">   (1)</w:t>
      </w:r>
      <w:r>
        <w:rPr>
          <w:rFonts w:ascii="Bookman Old Style" w:hAnsi="Bookman Old Style"/>
        </w:rPr>
        <w:tab/>
        <w:t>left the insured worker's last suitable work voluntarily without good cause; or</w:t>
      </w:r>
    </w:p>
    <w:p w:rsidR="0095267F" w:rsidRDefault="0095267F" w:rsidP="0095267F">
      <w:pPr>
        <w:pStyle w:val="NormalWeb"/>
        <w:spacing w:before="0" w:beforeAutospacing="0" w:after="0" w:afterAutospacing="0"/>
        <w:ind w:left="2160" w:hanging="1440"/>
        <w:rPr>
          <w:rFonts w:ascii="Bookman Old Style" w:hAnsi="Bookman Old Style"/>
        </w:rPr>
      </w:pPr>
      <w:r>
        <w:rPr>
          <w:rFonts w:ascii="Bookman Old Style" w:hAnsi="Bookman Old Style"/>
        </w:rPr>
        <w:t xml:space="preserve">   </w:t>
      </w:r>
      <w:r>
        <w:rPr>
          <w:rFonts w:ascii="Bookman Old Style" w:hAnsi="Bookman Old Style"/>
          <w:noProof/>
        </w:rPr>
        <w:drawing>
          <wp:inline distT="0" distB="0" distL="0" distR="0" wp14:anchorId="5A1DC1CE" wp14:editId="42A0DC6B">
            <wp:extent cx="284480" cy="10160"/>
            <wp:effectExtent l="0" t="0" r="0" b="0"/>
            <wp:docPr id="4" name="Picture 4" descr="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480" cy="10160"/>
                    </a:xfrm>
                    <a:prstGeom prst="rect">
                      <a:avLst/>
                    </a:prstGeom>
                    <a:noFill/>
                    <a:ln>
                      <a:noFill/>
                    </a:ln>
                  </pic:spPr>
                </pic:pic>
              </a:graphicData>
            </a:graphic>
          </wp:inline>
        </w:drawing>
      </w:r>
      <w:r>
        <w:rPr>
          <w:rFonts w:ascii="Bookman Old Style" w:hAnsi="Bookman Old Style"/>
        </w:rPr>
        <w:t>(2)</w:t>
      </w:r>
      <w:r>
        <w:rPr>
          <w:rFonts w:ascii="Bookman Old Style" w:hAnsi="Bookman Old Style"/>
        </w:rPr>
        <w:tab/>
        <w:t>was discharged for misconduct connected with the insured worker's last work.</w:t>
      </w:r>
    </w:p>
    <w:p w:rsidR="0095267F" w:rsidRDefault="0095267F" w:rsidP="0095267F">
      <w:pPr>
        <w:pStyle w:val="NormalWeb"/>
        <w:spacing w:before="0" w:beforeAutospacing="0" w:after="0" w:afterAutospacing="0"/>
        <w:ind w:left="2160" w:hanging="1440"/>
        <w:rPr>
          <w:rFonts w:ascii="Bookman Old Style" w:hAnsi="Bookman Old Style"/>
        </w:rPr>
      </w:pPr>
    </w:p>
    <w:p w:rsidR="0095267F" w:rsidRDefault="0095267F" w:rsidP="0095267F">
      <w:pPr>
        <w:pStyle w:val="ListParagraph"/>
        <w:numPr>
          <w:ilvl w:val="0"/>
          <w:numId w:val="6"/>
        </w:numPr>
        <w:rPr>
          <w:rFonts w:ascii="Bookman Old Style" w:hAnsi="Bookman Old Style"/>
        </w:rPr>
      </w:pPr>
      <w:r>
        <w:rPr>
          <w:rFonts w:ascii="Bookman Old Style" w:hAnsi="Bookman Old Style"/>
        </w:rPr>
        <w:t>The disqualification required in (a) and (b) of this section is terminated if the insured worker returns to employment and earns at least eight times the insured worker's weekly benefit amount.</w:t>
      </w:r>
    </w:p>
    <w:p w:rsidR="005C1A5F" w:rsidRDefault="005C1A5F" w:rsidP="005C1A5F">
      <w:pPr>
        <w:pStyle w:val="ListParagraph"/>
        <w:ind w:left="1530"/>
        <w:rPr>
          <w:rFonts w:ascii="Bookman Old Style" w:hAnsi="Bookman Old Style"/>
        </w:rPr>
      </w:pPr>
    </w:p>
    <w:p w:rsidR="005C1A5F" w:rsidRPr="005C1A5F" w:rsidRDefault="005C1A5F" w:rsidP="005C1A5F">
      <w:pPr>
        <w:pStyle w:val="ListParagraph"/>
        <w:numPr>
          <w:ilvl w:val="0"/>
          <w:numId w:val="7"/>
        </w:numPr>
        <w:rPr>
          <w:rFonts w:ascii="Bookman Old Style" w:hAnsi="Bookman Old Style"/>
          <w:b/>
        </w:rPr>
      </w:pPr>
      <w:r w:rsidRPr="005C1A5F">
        <w:rPr>
          <w:rFonts w:ascii="Bookman Old Style" w:hAnsi="Bookman Old Style"/>
          <w:b/>
        </w:rPr>
        <w:t>AAC 85.095 provides, in part:</w:t>
      </w:r>
    </w:p>
    <w:p w:rsidR="005C1A5F" w:rsidRPr="005C1A5F" w:rsidRDefault="005C1A5F" w:rsidP="005C1A5F">
      <w:pPr>
        <w:rPr>
          <w:rFonts w:ascii="Bookman Old Style" w:hAnsi="Bookman Old Style"/>
        </w:rPr>
      </w:pPr>
    </w:p>
    <w:p w:rsidR="005C1A5F" w:rsidRPr="005C1A5F" w:rsidRDefault="005C1A5F" w:rsidP="005C1A5F">
      <w:pPr>
        <w:ind w:left="1440" w:hanging="720"/>
        <w:rPr>
          <w:rFonts w:ascii="Bookman Old Style" w:hAnsi="Bookman Old Style"/>
        </w:rPr>
      </w:pPr>
      <w:r>
        <w:rPr>
          <w:rFonts w:ascii="Bookman Old Style" w:hAnsi="Bookman Old Style"/>
        </w:rPr>
        <w:t xml:space="preserve">(a) </w:t>
      </w:r>
      <w:r>
        <w:rPr>
          <w:rFonts w:ascii="Bookman Old Style" w:hAnsi="Bookman Old Style"/>
        </w:rPr>
        <w:tab/>
      </w:r>
      <w:r w:rsidRPr="005C1A5F">
        <w:rPr>
          <w:rFonts w:ascii="Bookman Old Style" w:hAnsi="Bookman Old Style"/>
        </w:rPr>
        <w:t>A disqualification under AS 23.20.379 (a) and (b) remains in effect for six consecutive weeks or until terminated under the conditions of AS 23.20.379 (d), whichever is less. The disqualification will be terminated immediately following the end of the week in which a claimant has earned, for all employment during the disqualification period, at least eight times his weekly benefit amount, excluding any allowance for dependents. The termination of the disqualification period will not restore benefits denied for weeks ending before the termination. The termination does not restore a reduction in maximum potential benefits made under AS 23.20.379 (c).</w:t>
      </w:r>
    </w:p>
    <w:p w:rsidR="005C1A5F" w:rsidRPr="005C1A5F" w:rsidRDefault="005C1A5F" w:rsidP="005C1A5F">
      <w:pPr>
        <w:ind w:left="810"/>
        <w:rPr>
          <w:rFonts w:ascii="Bookman Old Style" w:hAnsi="Bookman Old Style"/>
        </w:rPr>
      </w:pPr>
    </w:p>
    <w:p w:rsidR="005C1A5F" w:rsidRPr="005C1A5F" w:rsidRDefault="005C1A5F" w:rsidP="00145A67">
      <w:pPr>
        <w:pStyle w:val="ListParagraph"/>
        <w:widowControl/>
        <w:numPr>
          <w:ilvl w:val="0"/>
          <w:numId w:val="6"/>
        </w:numPr>
        <w:autoSpaceDE w:val="0"/>
        <w:autoSpaceDN w:val="0"/>
        <w:adjustRightInd w:val="0"/>
        <w:rPr>
          <w:rFonts w:ascii="Bookman Old Style" w:hAnsi="Bookman Old Style"/>
          <w:szCs w:val="24"/>
        </w:rPr>
      </w:pPr>
      <w:r w:rsidRPr="005C1A5F">
        <w:rPr>
          <w:rFonts w:ascii="Bookman Old Style" w:hAnsi="Bookman Old Style"/>
          <w:szCs w:val="24"/>
        </w:rPr>
        <w:t>To determine the existence of good cause under AS 23.20.379(a)(1) for voluntarily leaving work determined to be suitable under AS 23.20.385, the department will consider only the following factors:</w:t>
      </w:r>
    </w:p>
    <w:p w:rsidR="005C1A5F" w:rsidRPr="005C1A5F" w:rsidRDefault="005C1A5F" w:rsidP="005C1A5F">
      <w:pPr>
        <w:pStyle w:val="ListParagraph"/>
        <w:widowControl/>
        <w:autoSpaceDE w:val="0"/>
        <w:autoSpaceDN w:val="0"/>
        <w:adjustRightInd w:val="0"/>
        <w:ind w:left="1440"/>
        <w:rPr>
          <w:rFonts w:ascii="Bookman Old Style" w:hAnsi="Bookman Old Style"/>
          <w:szCs w:val="24"/>
        </w:rPr>
      </w:pPr>
    </w:p>
    <w:p w:rsidR="005C1A5F" w:rsidRPr="005C1A5F" w:rsidRDefault="005C1A5F" w:rsidP="005C1A5F">
      <w:pPr>
        <w:widowControl/>
        <w:autoSpaceDE w:val="0"/>
        <w:autoSpaceDN w:val="0"/>
        <w:adjustRightInd w:val="0"/>
        <w:ind w:left="2160" w:hanging="720"/>
        <w:rPr>
          <w:rFonts w:ascii="Bookman Old Style" w:hAnsi="Bookman Old Style"/>
          <w:szCs w:val="24"/>
        </w:rPr>
      </w:pPr>
      <w:r w:rsidRPr="005C1A5F">
        <w:rPr>
          <w:rFonts w:ascii="Bookman Old Style" w:hAnsi="Bookman Old Style"/>
          <w:szCs w:val="24"/>
        </w:rPr>
        <w:t xml:space="preserve">(1) </w:t>
      </w:r>
      <w:r w:rsidRPr="005C1A5F">
        <w:rPr>
          <w:rFonts w:ascii="Bookman Old Style" w:hAnsi="Bookman Old Style"/>
          <w:szCs w:val="24"/>
        </w:rPr>
        <w:tab/>
        <w:t>leaving work due to a disability or illness of the claimant that makes it impossible for the claimant to perform the duties required by the work, if the claimant has no other reasonable alternative but to leave work;</w:t>
      </w:r>
    </w:p>
    <w:p w:rsidR="005C1A5F" w:rsidRPr="005C1A5F" w:rsidRDefault="005C1A5F" w:rsidP="005C1A5F">
      <w:pPr>
        <w:pStyle w:val="ListParagraph"/>
        <w:widowControl/>
        <w:autoSpaceDE w:val="0"/>
        <w:autoSpaceDN w:val="0"/>
        <w:adjustRightInd w:val="0"/>
        <w:ind w:left="2160" w:hanging="630"/>
        <w:rPr>
          <w:rFonts w:ascii="Bookman Old Style" w:hAnsi="Bookman Old Style"/>
          <w:szCs w:val="24"/>
        </w:rPr>
      </w:pPr>
      <w:r w:rsidRPr="005C1A5F">
        <w:rPr>
          <w:rFonts w:ascii="Bookman Old Style" w:hAnsi="Bookman Old Style"/>
          <w:szCs w:val="24"/>
        </w:rPr>
        <w:t xml:space="preserve">(2) </w:t>
      </w:r>
      <w:r w:rsidRPr="005C1A5F">
        <w:rPr>
          <w:rFonts w:ascii="Bookman Old Style" w:hAnsi="Bookman Old Style"/>
          <w:szCs w:val="24"/>
        </w:rPr>
        <w:tab/>
        <w:t>leaving work to care for an immediate family member who has a disability or illness;</w:t>
      </w:r>
    </w:p>
    <w:p w:rsidR="005C1A5F" w:rsidRPr="005C1A5F" w:rsidRDefault="005C1A5F" w:rsidP="005C1A5F">
      <w:pPr>
        <w:pStyle w:val="ListParagraph"/>
        <w:widowControl/>
        <w:autoSpaceDE w:val="0"/>
        <w:autoSpaceDN w:val="0"/>
        <w:adjustRightInd w:val="0"/>
        <w:ind w:left="2160" w:hanging="630"/>
        <w:rPr>
          <w:rFonts w:ascii="Bookman Old Style" w:hAnsi="Bookman Old Style"/>
          <w:szCs w:val="24"/>
        </w:rPr>
      </w:pPr>
      <w:r w:rsidRPr="005C1A5F">
        <w:rPr>
          <w:rFonts w:ascii="Bookman Old Style" w:hAnsi="Bookman Old Style"/>
          <w:szCs w:val="24"/>
        </w:rPr>
        <w:t xml:space="preserve">(3) </w:t>
      </w:r>
      <w:r w:rsidRPr="005C1A5F">
        <w:rPr>
          <w:rFonts w:ascii="Bookman Old Style" w:hAnsi="Bookman Old Style"/>
          <w:szCs w:val="24"/>
        </w:rPr>
        <w:tab/>
        <w:t>leaving work due to safety or other working conditions or an employment agreement related directly to the work, if the claimant has no other reasonable alternative but to leave work;</w:t>
      </w:r>
    </w:p>
    <w:p w:rsidR="005C1A5F" w:rsidRPr="005C1A5F" w:rsidRDefault="005C1A5F" w:rsidP="005C1A5F">
      <w:pPr>
        <w:pStyle w:val="ListParagraph"/>
        <w:widowControl/>
        <w:autoSpaceDE w:val="0"/>
        <w:autoSpaceDN w:val="0"/>
        <w:adjustRightInd w:val="0"/>
        <w:ind w:left="2160" w:hanging="630"/>
        <w:rPr>
          <w:rFonts w:ascii="Bookman Old Style" w:hAnsi="Bookman Old Style"/>
          <w:szCs w:val="24"/>
        </w:rPr>
      </w:pPr>
      <w:r w:rsidRPr="005C1A5F">
        <w:rPr>
          <w:rFonts w:ascii="Bookman Old Style" w:hAnsi="Bookman Old Style"/>
          <w:szCs w:val="24"/>
        </w:rPr>
        <w:t xml:space="preserve">(4) </w:t>
      </w:r>
      <w:r w:rsidRPr="005C1A5F">
        <w:rPr>
          <w:rFonts w:ascii="Bookman Old Style" w:hAnsi="Bookman Old Style"/>
          <w:szCs w:val="24"/>
        </w:rPr>
        <w:tab/>
        <w:t>leaving work to accompany or join a spouse at a change of location, if commuting from the new location to the claimant’s work is impractical; for purposes of this paragraph, the change of location must be as a result of the spouse’s</w:t>
      </w:r>
    </w:p>
    <w:p w:rsidR="005C1A5F" w:rsidRPr="005C1A5F" w:rsidRDefault="005C1A5F" w:rsidP="005C1A5F">
      <w:pPr>
        <w:pStyle w:val="ListParagraph"/>
        <w:widowControl/>
        <w:autoSpaceDE w:val="0"/>
        <w:autoSpaceDN w:val="0"/>
        <w:adjustRightInd w:val="0"/>
        <w:ind w:left="1530"/>
        <w:rPr>
          <w:rFonts w:ascii="Bookman Old Style" w:hAnsi="Bookman Old Style"/>
          <w:szCs w:val="24"/>
        </w:rPr>
      </w:pPr>
    </w:p>
    <w:p w:rsidR="005C1A5F" w:rsidRPr="005C1A5F" w:rsidRDefault="005C1A5F" w:rsidP="005C1A5F">
      <w:pPr>
        <w:pStyle w:val="ListParagraph"/>
        <w:widowControl/>
        <w:autoSpaceDE w:val="0"/>
        <w:autoSpaceDN w:val="0"/>
        <w:adjustRightInd w:val="0"/>
        <w:ind w:left="2160"/>
        <w:rPr>
          <w:rFonts w:ascii="Bookman Old Style" w:hAnsi="Bookman Old Style"/>
          <w:szCs w:val="24"/>
        </w:rPr>
      </w:pPr>
      <w:r w:rsidRPr="005C1A5F">
        <w:rPr>
          <w:rFonts w:ascii="Bookman Old Style" w:hAnsi="Bookman Old Style"/>
          <w:szCs w:val="24"/>
        </w:rPr>
        <w:t>(A) discharge from military service; or</w:t>
      </w:r>
    </w:p>
    <w:p w:rsidR="005C1A5F" w:rsidRPr="005C1A5F" w:rsidRDefault="005C1A5F" w:rsidP="005C1A5F">
      <w:pPr>
        <w:pStyle w:val="ListParagraph"/>
        <w:widowControl/>
        <w:autoSpaceDE w:val="0"/>
        <w:autoSpaceDN w:val="0"/>
        <w:adjustRightInd w:val="0"/>
        <w:ind w:left="1530" w:firstLine="630"/>
        <w:rPr>
          <w:rFonts w:ascii="Bookman Old Style" w:hAnsi="Bookman Old Style"/>
          <w:szCs w:val="24"/>
        </w:rPr>
      </w:pPr>
      <w:r w:rsidRPr="005C1A5F">
        <w:rPr>
          <w:rFonts w:ascii="Bookman Old Style" w:hAnsi="Bookman Old Style"/>
          <w:szCs w:val="24"/>
        </w:rPr>
        <w:t>(B) employment;</w:t>
      </w:r>
    </w:p>
    <w:p w:rsidR="005C1A5F" w:rsidRPr="005C1A5F" w:rsidRDefault="005C1A5F" w:rsidP="005C1A5F">
      <w:pPr>
        <w:pStyle w:val="ListParagraph"/>
        <w:widowControl/>
        <w:autoSpaceDE w:val="0"/>
        <w:autoSpaceDN w:val="0"/>
        <w:adjustRightInd w:val="0"/>
        <w:ind w:left="1530"/>
        <w:rPr>
          <w:rFonts w:ascii="Bookman Old Style" w:hAnsi="Bookman Old Style"/>
          <w:szCs w:val="24"/>
        </w:rPr>
      </w:pPr>
    </w:p>
    <w:p w:rsidR="005C1A5F" w:rsidRPr="005C1A5F" w:rsidRDefault="005C1A5F" w:rsidP="005C1A5F">
      <w:pPr>
        <w:pStyle w:val="ListParagraph"/>
        <w:widowControl/>
        <w:autoSpaceDE w:val="0"/>
        <w:autoSpaceDN w:val="0"/>
        <w:adjustRightInd w:val="0"/>
        <w:ind w:left="2160" w:hanging="630"/>
        <w:rPr>
          <w:rFonts w:ascii="Bookman Old Style" w:hAnsi="Bookman Old Style"/>
          <w:szCs w:val="24"/>
        </w:rPr>
      </w:pPr>
      <w:r w:rsidRPr="005C1A5F">
        <w:rPr>
          <w:rFonts w:ascii="Bookman Old Style" w:hAnsi="Bookman Old Style"/>
          <w:szCs w:val="24"/>
        </w:rPr>
        <w:t xml:space="preserve">(5) </w:t>
      </w:r>
      <w:r w:rsidRPr="005C1A5F">
        <w:rPr>
          <w:rFonts w:ascii="Bookman Old Style" w:hAnsi="Bookman Old Style"/>
          <w:szCs w:val="24"/>
        </w:rPr>
        <w:tab/>
        <w:t>leaving unskilled work to attend a vocational training or retraining course approved by the director under AS 23.20.382, only if the claimant enters the course immediately upon separating from work;</w:t>
      </w:r>
    </w:p>
    <w:p w:rsidR="005C1A5F" w:rsidRPr="005C1A5F" w:rsidRDefault="005C1A5F" w:rsidP="005C1A5F">
      <w:pPr>
        <w:pStyle w:val="ListParagraph"/>
        <w:widowControl/>
        <w:autoSpaceDE w:val="0"/>
        <w:autoSpaceDN w:val="0"/>
        <w:adjustRightInd w:val="0"/>
        <w:ind w:left="2160" w:hanging="630"/>
        <w:rPr>
          <w:rFonts w:ascii="Bookman Old Style" w:hAnsi="Bookman Old Style"/>
          <w:szCs w:val="24"/>
        </w:rPr>
      </w:pPr>
      <w:r w:rsidRPr="005C1A5F">
        <w:rPr>
          <w:rFonts w:ascii="Bookman Old Style" w:hAnsi="Bookman Old Style"/>
          <w:szCs w:val="24"/>
        </w:rPr>
        <w:t>(6)</w:t>
      </w:r>
      <w:r w:rsidRPr="005C1A5F">
        <w:rPr>
          <w:rFonts w:ascii="Bookman Old Style" w:hAnsi="Bookman Old Style"/>
          <w:szCs w:val="24"/>
        </w:rPr>
        <w:tab/>
        <w:t>leaving work in order to protect the claimant or the               claimant’s immediate family members from harassment or    violence;</w:t>
      </w:r>
    </w:p>
    <w:p w:rsidR="005C1A5F" w:rsidRPr="005C1A5F" w:rsidRDefault="005C1A5F" w:rsidP="005C1A5F">
      <w:pPr>
        <w:pStyle w:val="ListParagraph"/>
        <w:widowControl/>
        <w:autoSpaceDE w:val="0"/>
        <w:autoSpaceDN w:val="0"/>
        <w:adjustRightInd w:val="0"/>
        <w:ind w:left="2160" w:hanging="630"/>
        <w:rPr>
          <w:rFonts w:ascii="Bookman Old Style" w:hAnsi="Bookman Old Style"/>
          <w:szCs w:val="24"/>
        </w:rPr>
      </w:pPr>
      <w:r w:rsidRPr="005C1A5F">
        <w:rPr>
          <w:rFonts w:ascii="Bookman Old Style" w:hAnsi="Bookman Old Style"/>
          <w:szCs w:val="24"/>
        </w:rPr>
        <w:t>(7)</w:t>
      </w:r>
      <w:r w:rsidRPr="005C1A5F">
        <w:rPr>
          <w:rFonts w:ascii="Bookman Old Style" w:hAnsi="Bookman Old Style"/>
          <w:szCs w:val="24"/>
        </w:rPr>
        <w:tab/>
        <w:t xml:space="preserve">leaving work to accept a bonafide offer of work that offers               better wages, benefits, hours, or other working conditions; if          the new work does not materialize, the reasons for the work           not materializing must not be due to the fault of the worker; </w:t>
      </w:r>
    </w:p>
    <w:p w:rsidR="005C1A5F" w:rsidRPr="005C1A5F" w:rsidRDefault="005C1A5F" w:rsidP="005C1A5F">
      <w:pPr>
        <w:pStyle w:val="ListParagraph"/>
        <w:widowControl/>
        <w:autoSpaceDE w:val="0"/>
        <w:autoSpaceDN w:val="0"/>
        <w:adjustRightInd w:val="0"/>
        <w:ind w:left="1530"/>
        <w:rPr>
          <w:rFonts w:ascii="Bookman Old Style" w:hAnsi="Bookman Old Style"/>
          <w:szCs w:val="24"/>
        </w:rPr>
      </w:pPr>
      <w:r w:rsidRPr="005C1A5F">
        <w:rPr>
          <w:rFonts w:ascii="Bookman Old Style" w:hAnsi="Bookman Old Style"/>
          <w:szCs w:val="24"/>
        </w:rPr>
        <w:t>(8)</w:t>
      </w:r>
      <w:r w:rsidRPr="005C1A5F">
        <w:rPr>
          <w:rFonts w:ascii="Bookman Old Style" w:hAnsi="Bookman Old Style"/>
          <w:szCs w:val="24"/>
        </w:rPr>
        <w:tab/>
        <w:t>other factors listed in AS 23.20.385(b).</w:t>
      </w:r>
    </w:p>
    <w:p w:rsidR="00426766" w:rsidRPr="00426766" w:rsidRDefault="00426766" w:rsidP="00426766">
      <w:pPr>
        <w:ind w:left="720"/>
        <w:rPr>
          <w:rFonts w:ascii="Bookman Old Style" w:hAnsi="Bookman Old Style"/>
        </w:rPr>
      </w:pPr>
    </w:p>
    <w:p w:rsidR="0095267F" w:rsidRDefault="0095267F" w:rsidP="0095267F"/>
    <w:p w:rsidR="00BB5BDD" w:rsidRPr="00AB39A5" w:rsidRDefault="00BB5BDD" w:rsidP="00BB5BDD">
      <w:pPr>
        <w:pStyle w:val="Heading4"/>
        <w:rPr>
          <w:rFonts w:ascii="Bookman Old Style" w:hAnsi="Bookman Old Style"/>
          <w:i w:val="0"/>
          <w:color w:val="auto"/>
          <w:szCs w:val="24"/>
        </w:rPr>
      </w:pPr>
      <w:r w:rsidRPr="00AB39A5">
        <w:rPr>
          <w:rFonts w:ascii="Bookman Old Style" w:hAnsi="Bookman Old Style"/>
          <w:i w:val="0"/>
          <w:color w:val="auto"/>
          <w:spacing w:val="-3"/>
          <w:szCs w:val="24"/>
        </w:rPr>
        <w:t>AS 23.20.406 provide</w:t>
      </w:r>
      <w:r>
        <w:rPr>
          <w:rFonts w:ascii="Bookman Old Style" w:hAnsi="Bookman Old Style"/>
          <w:i w:val="0"/>
          <w:color w:val="auto"/>
          <w:spacing w:val="-3"/>
          <w:szCs w:val="24"/>
        </w:rPr>
        <w:t>s</w:t>
      </w:r>
      <w:r w:rsidRPr="00AB39A5">
        <w:rPr>
          <w:rFonts w:ascii="Bookman Old Style" w:hAnsi="Bookman Old Style"/>
          <w:i w:val="0"/>
          <w:color w:val="auto"/>
          <w:spacing w:val="-3"/>
          <w:szCs w:val="24"/>
        </w:rPr>
        <w:t xml:space="preserve"> in part:</w:t>
      </w:r>
    </w:p>
    <w:p w:rsidR="00BB5BDD" w:rsidRDefault="00BB5BDD" w:rsidP="00BB5BDD">
      <w:pPr>
        <w:pStyle w:val="Heading4"/>
        <w:ind w:left="1440" w:hanging="720"/>
        <w:rPr>
          <w:rFonts w:ascii="Bookman Old Style" w:hAnsi="Bookman Old Style"/>
          <w:b w:val="0"/>
          <w:i w:val="0"/>
          <w:color w:val="auto"/>
        </w:rPr>
      </w:pPr>
      <w:r>
        <w:rPr>
          <w:rFonts w:ascii="Bookman Old Style" w:hAnsi="Bookman Old Style"/>
          <w:b w:val="0"/>
          <w:i w:val="0"/>
          <w:color w:val="auto"/>
        </w:rPr>
        <w:t>(h)</w:t>
      </w:r>
      <w:r>
        <w:rPr>
          <w:rFonts w:ascii="Bookman Old Style" w:hAnsi="Bookman Old Style"/>
          <w:b w:val="0"/>
          <w:i w:val="0"/>
          <w:color w:val="auto"/>
        </w:rPr>
        <w:tab/>
      </w:r>
      <w:r w:rsidRPr="00AB39A5">
        <w:rPr>
          <w:rFonts w:ascii="Bookman Old Style" w:hAnsi="Bookman Old Style"/>
          <w:b w:val="0"/>
          <w:i w:val="0"/>
          <w:color w:val="auto"/>
        </w:rPr>
        <w:t>An individual is not eligible to receive extended benefits for any week of unemployment in the individual's eligibility period if the individual has been disqualified for benefits because the individual voluntarily left work, was discharged for misconduct, or refused an offer of suitable work, unless the disqualification imposed for those reasons has been terminated in accordance with AS 23.20.379(d).</w:t>
      </w:r>
    </w:p>
    <w:p w:rsidR="0078796F" w:rsidRPr="00AB39A5" w:rsidRDefault="0078796F" w:rsidP="00AB39A5">
      <w:pPr>
        <w:pStyle w:val="Heading4"/>
        <w:jc w:val="center"/>
        <w:rPr>
          <w:rFonts w:ascii="Bookman Old Style" w:hAnsi="Bookman Old Style"/>
          <w:i w:val="0"/>
          <w:color w:val="auto"/>
          <w:szCs w:val="24"/>
        </w:rPr>
      </w:pPr>
      <w:r w:rsidRPr="00AB39A5">
        <w:rPr>
          <w:rFonts w:ascii="Bookman Old Style" w:hAnsi="Bookman Old Style"/>
          <w:i w:val="0"/>
          <w:color w:val="auto"/>
          <w:szCs w:val="24"/>
        </w:rPr>
        <w:t>CONCLUSION</w:t>
      </w:r>
    </w:p>
    <w:p w:rsidR="0078796F" w:rsidRDefault="0078796F" w:rsidP="00304946">
      <w:pPr>
        <w:tabs>
          <w:tab w:val="left" w:pos="-1440"/>
          <w:tab w:val="left" w:pos="-720"/>
        </w:tabs>
        <w:rPr>
          <w:rFonts w:ascii="Bookman Old Style" w:hAnsi="Bookman Old Style"/>
          <w:szCs w:val="24"/>
        </w:rPr>
      </w:pPr>
    </w:p>
    <w:p w:rsidR="001F564A" w:rsidRDefault="001F564A" w:rsidP="001F564A">
      <w:pPr>
        <w:widowControl/>
        <w:suppressAutoHyphens/>
        <w:rPr>
          <w:rFonts w:ascii="Bookman Old Style" w:hAnsi="Bookman Old Style"/>
          <w:szCs w:val="24"/>
        </w:rPr>
      </w:pPr>
      <w:r>
        <w:rPr>
          <w:rFonts w:ascii="Bookman Old Style" w:hAnsi="Bookman Old Style"/>
          <w:szCs w:val="24"/>
        </w:rPr>
        <w:t>The claimant quit her employment due to her fear of catching COVID-19. The fear of catching a disease is not good cause under the regulation for leaving employment. Regulation 8 AAC 85.095 specifically lists seven reasons for leaving work that are considered good cause. As the claimant did not leave work for one of these reasons,</w:t>
      </w:r>
      <w:r w:rsidR="003D1783">
        <w:rPr>
          <w:rFonts w:ascii="Bookman Old Style" w:hAnsi="Bookman Old Style"/>
          <w:szCs w:val="24"/>
        </w:rPr>
        <w:t xml:space="preserve"> </w:t>
      </w:r>
    </w:p>
    <w:p w:rsidR="001F564A" w:rsidRDefault="003D1783" w:rsidP="001F564A">
      <w:pPr>
        <w:widowControl/>
        <w:suppressAutoHyphens/>
        <w:rPr>
          <w:rFonts w:ascii="Bookman Old Style" w:hAnsi="Bookman Old Style"/>
          <w:szCs w:val="24"/>
        </w:rPr>
      </w:pPr>
      <w:r>
        <w:rPr>
          <w:rFonts w:ascii="Bookman Old Style" w:hAnsi="Bookman Old Style"/>
          <w:szCs w:val="24"/>
        </w:rPr>
        <w:t>s</w:t>
      </w:r>
      <w:r w:rsidR="001F564A">
        <w:rPr>
          <w:rFonts w:ascii="Bookman Old Style" w:hAnsi="Bookman Old Style"/>
          <w:szCs w:val="24"/>
        </w:rPr>
        <w:t>ub-paragraph eight requires that the Department consider other factors provided in AS 23.20.385, Suitable Work, above.</w:t>
      </w:r>
    </w:p>
    <w:p w:rsidR="001F564A" w:rsidRDefault="001F564A" w:rsidP="001F564A">
      <w:pPr>
        <w:widowControl/>
        <w:tabs>
          <w:tab w:val="left" w:pos="-1440"/>
          <w:tab w:val="left" w:pos="-720"/>
        </w:tabs>
        <w:suppressAutoHyphens/>
        <w:rPr>
          <w:rFonts w:ascii="Bookman Old Style" w:hAnsi="Bookman Old Style"/>
          <w:szCs w:val="24"/>
        </w:rPr>
      </w:pPr>
    </w:p>
    <w:p w:rsidR="001F564A" w:rsidRDefault="001F564A" w:rsidP="001F564A">
      <w:pPr>
        <w:widowControl/>
        <w:suppressAutoHyphens/>
        <w:rPr>
          <w:rFonts w:ascii="Bookman Old Style" w:hAnsi="Bookman Old Style"/>
          <w:szCs w:val="24"/>
        </w:rPr>
      </w:pPr>
      <w:r>
        <w:rPr>
          <w:rFonts w:ascii="Bookman Old Style" w:hAnsi="Bookman Old Style"/>
          <w:szCs w:val="24"/>
        </w:rPr>
        <w:t xml:space="preserve">The job was not a risk to the claimant’s </w:t>
      </w:r>
      <w:r w:rsidR="003D1783">
        <w:rPr>
          <w:rFonts w:ascii="Bookman Old Style" w:hAnsi="Bookman Old Style"/>
          <w:szCs w:val="24"/>
        </w:rPr>
        <w:t>safety</w:t>
      </w:r>
      <w:r>
        <w:rPr>
          <w:rFonts w:ascii="Bookman Old Style" w:hAnsi="Bookman Old Style"/>
          <w:szCs w:val="24"/>
        </w:rPr>
        <w:t xml:space="preserve"> or morals. The claimant had been engaged in </w:t>
      </w:r>
      <w:r w:rsidR="003D1783">
        <w:rPr>
          <w:rFonts w:ascii="Bookman Old Style" w:hAnsi="Bookman Old Style"/>
          <w:szCs w:val="24"/>
        </w:rPr>
        <w:t>this work for several years</w:t>
      </w:r>
      <w:r>
        <w:rPr>
          <w:rFonts w:ascii="Bookman Old Style" w:hAnsi="Bookman Old Style"/>
          <w:szCs w:val="24"/>
        </w:rPr>
        <w:t xml:space="preserve">. </w:t>
      </w:r>
      <w:r w:rsidR="003D1783">
        <w:rPr>
          <w:rFonts w:ascii="Bookman Old Style" w:hAnsi="Bookman Old Style"/>
          <w:szCs w:val="24"/>
        </w:rPr>
        <w:t xml:space="preserve">The fear of catching a disease is not in and of itself a risk to one’s health. </w:t>
      </w:r>
      <w:r>
        <w:rPr>
          <w:rFonts w:ascii="Bookman Old Style" w:hAnsi="Bookman Old Style"/>
          <w:szCs w:val="24"/>
        </w:rPr>
        <w:t>The claimant has not shown that h</w:t>
      </w:r>
      <w:r w:rsidR="003D1783">
        <w:rPr>
          <w:rFonts w:ascii="Bookman Old Style" w:hAnsi="Bookman Old Style"/>
          <w:szCs w:val="24"/>
        </w:rPr>
        <w:t>er</w:t>
      </w:r>
      <w:r>
        <w:rPr>
          <w:rFonts w:ascii="Bookman Old Style" w:hAnsi="Bookman Old Style"/>
          <w:szCs w:val="24"/>
        </w:rPr>
        <w:t xml:space="preserve"> reasons for leaving h</w:t>
      </w:r>
      <w:r w:rsidR="003D1783">
        <w:rPr>
          <w:rFonts w:ascii="Bookman Old Style" w:hAnsi="Bookman Old Style"/>
          <w:szCs w:val="24"/>
        </w:rPr>
        <w:t>er</w:t>
      </w:r>
      <w:r>
        <w:rPr>
          <w:rFonts w:ascii="Bookman Old Style" w:hAnsi="Bookman Old Style"/>
          <w:szCs w:val="24"/>
        </w:rPr>
        <w:t xml:space="preserve"> employment are among the factors that would influence a reasonably prudent person to leave employment.</w:t>
      </w:r>
    </w:p>
    <w:p w:rsidR="001F564A" w:rsidRPr="00304946" w:rsidRDefault="001F564A" w:rsidP="00304946">
      <w:pPr>
        <w:tabs>
          <w:tab w:val="left" w:pos="-1440"/>
          <w:tab w:val="left" w:pos="-720"/>
        </w:tabs>
        <w:rPr>
          <w:rFonts w:ascii="Bookman Old Style" w:hAnsi="Bookman Old Style"/>
          <w:szCs w:val="24"/>
        </w:rPr>
      </w:pPr>
    </w:p>
    <w:p w:rsidR="000F4846" w:rsidRDefault="000F4846" w:rsidP="000F4846">
      <w:pPr>
        <w:pStyle w:val="Default"/>
        <w:rPr>
          <w:rFonts w:ascii="Bookman Old Style" w:hAnsi="Bookman Old Style"/>
        </w:rPr>
      </w:pPr>
      <w:r>
        <w:rPr>
          <w:rFonts w:ascii="Bookman Old Style" w:hAnsi="Bookman Old Style"/>
        </w:rPr>
        <w:t>From the Division’s Benefit Policy Manual, MS 160.05:</w:t>
      </w:r>
    </w:p>
    <w:p w:rsidR="000F4846" w:rsidRDefault="000F4846" w:rsidP="000F4846">
      <w:pPr>
        <w:pStyle w:val="Default"/>
        <w:rPr>
          <w:rFonts w:ascii="Bookman Old Style" w:hAnsi="Bookman Old Style"/>
        </w:rPr>
      </w:pPr>
    </w:p>
    <w:p w:rsidR="000F4846" w:rsidRDefault="000F4846" w:rsidP="000F4846">
      <w:pPr>
        <w:tabs>
          <w:tab w:val="left" w:pos="-1440"/>
          <w:tab w:val="left" w:pos="-720"/>
        </w:tabs>
        <w:ind w:left="360"/>
        <w:rPr>
          <w:rFonts w:ascii="Bookman Old Style" w:hAnsi="Bookman Old Style"/>
          <w:i/>
          <w:szCs w:val="24"/>
        </w:rPr>
      </w:pPr>
      <w:r>
        <w:rPr>
          <w:rFonts w:ascii="Bookman Old Style" w:hAnsi="Bookman Old Style"/>
          <w:i/>
          <w:szCs w:val="24"/>
        </w:rPr>
        <w:t>B. Purge of Disqualification</w:t>
      </w:r>
    </w:p>
    <w:p w:rsidR="000F4846" w:rsidRDefault="000F4846" w:rsidP="000F4846">
      <w:pPr>
        <w:tabs>
          <w:tab w:val="left" w:pos="-1440"/>
          <w:tab w:val="left" w:pos="-720"/>
        </w:tabs>
        <w:ind w:left="720"/>
        <w:rPr>
          <w:rFonts w:ascii="Bookman Old Style" w:hAnsi="Bookman Old Style"/>
          <w:i/>
          <w:szCs w:val="24"/>
        </w:rPr>
      </w:pPr>
      <w:r>
        <w:rPr>
          <w:rFonts w:ascii="Bookman Old Style" w:hAnsi="Bookman Old Style"/>
          <w:i/>
          <w:szCs w:val="24"/>
        </w:rPr>
        <w:t>A claimant who has been disqualified from receiving benefits because of voluntary leaving work without good cause, misconduct in connection with the work, or failure to apply for or to accept suitable work is not eligible for EB. The claimant can purge the disqualification by returning to work during the disqualification period and earning eight times their weekly benefit amount, or possibly through a timely appeal process. No other factors or circumstances may be considered (Storm, Docket 98 0622, April 7, 1998.)</w:t>
      </w:r>
    </w:p>
    <w:p w:rsidR="000F4846" w:rsidRDefault="000F4846" w:rsidP="000F4846">
      <w:pPr>
        <w:tabs>
          <w:tab w:val="left" w:pos="-1440"/>
          <w:tab w:val="left" w:pos="-720"/>
        </w:tabs>
        <w:rPr>
          <w:rFonts w:ascii="Bookman Old Style" w:hAnsi="Bookman Old Style"/>
          <w:szCs w:val="24"/>
        </w:rPr>
      </w:pPr>
    </w:p>
    <w:p w:rsidR="000F4846" w:rsidRDefault="000F4846" w:rsidP="000F4846">
      <w:pPr>
        <w:tabs>
          <w:tab w:val="left" w:pos="-1440"/>
          <w:tab w:val="left" w:pos="-720"/>
        </w:tabs>
        <w:rPr>
          <w:rFonts w:ascii="Bookman Old Style" w:hAnsi="Bookman Old Style"/>
          <w:szCs w:val="24"/>
        </w:rPr>
      </w:pPr>
      <w:r>
        <w:rPr>
          <w:rFonts w:ascii="Bookman Old Style" w:hAnsi="Bookman Old Style"/>
          <w:szCs w:val="24"/>
        </w:rPr>
        <w:t>The claimant did not purge the penalty imposed under AS 23.20.379(a) by returning to work during the disqualification period and earning eight times the weekly benefit amount.  The claimant is not eligible for extended benefits under AS 23.20.406.</w:t>
      </w:r>
    </w:p>
    <w:p w:rsidR="000F4846" w:rsidRDefault="000F4846" w:rsidP="000F4846">
      <w:pPr>
        <w:pStyle w:val="Heading4"/>
        <w:jc w:val="center"/>
        <w:rPr>
          <w:rFonts w:ascii="Bookman Old Style" w:hAnsi="Bookman Old Style"/>
          <w:i w:val="0"/>
          <w:color w:val="auto"/>
          <w:szCs w:val="24"/>
        </w:rPr>
      </w:pPr>
      <w:r>
        <w:rPr>
          <w:rFonts w:ascii="Bookman Old Style" w:hAnsi="Bookman Old Style"/>
          <w:i w:val="0"/>
          <w:color w:val="auto"/>
          <w:szCs w:val="24"/>
        </w:rPr>
        <w:t>DECISION</w:t>
      </w:r>
    </w:p>
    <w:p w:rsidR="000F4846" w:rsidRDefault="000F4846" w:rsidP="000F4846">
      <w:pPr>
        <w:tabs>
          <w:tab w:val="left" w:pos="-1440"/>
          <w:tab w:val="left" w:pos="-720"/>
        </w:tabs>
        <w:rPr>
          <w:rFonts w:ascii="Bookman Old Style" w:hAnsi="Bookman Old Style"/>
          <w:szCs w:val="24"/>
        </w:rPr>
      </w:pPr>
    </w:p>
    <w:p w:rsidR="003D1783" w:rsidRDefault="003D1783" w:rsidP="003D1783">
      <w:pPr>
        <w:tabs>
          <w:tab w:val="left" w:pos="-1440"/>
          <w:tab w:val="left" w:pos="-720"/>
        </w:tabs>
        <w:suppressAutoHyphens/>
        <w:ind w:right="-360"/>
        <w:rPr>
          <w:rFonts w:ascii="Bookman Old Style" w:hAnsi="Bookman Old Style"/>
          <w:snapToGrid/>
          <w:szCs w:val="24"/>
        </w:rPr>
      </w:pPr>
      <w:r>
        <w:rPr>
          <w:rFonts w:ascii="Bookman Old Style" w:hAnsi="Bookman Old Style"/>
          <w:szCs w:val="24"/>
        </w:rPr>
        <w:t xml:space="preserve">The determination issued on July 6, 2021 is </w:t>
      </w:r>
      <w:r>
        <w:rPr>
          <w:rFonts w:ascii="Bookman Old Style" w:hAnsi="Bookman Old Style"/>
          <w:b/>
          <w:szCs w:val="24"/>
        </w:rPr>
        <w:t>AFFIRMED</w:t>
      </w:r>
      <w:r>
        <w:rPr>
          <w:rFonts w:ascii="Bookman Old Style" w:hAnsi="Bookman Old Style"/>
          <w:szCs w:val="24"/>
        </w:rPr>
        <w:t>. Benefits are denied for the weeks ending December 5, 2020 through January 9, 2021. The three weeks are reduced from the claimant’s maximum benefits. The claimant may not be eligible for extended benefits under AS 23.20.406-409.</w:t>
      </w:r>
    </w:p>
    <w:p w:rsidR="000F4846" w:rsidRDefault="000F4846" w:rsidP="000F4846">
      <w:pPr>
        <w:tabs>
          <w:tab w:val="left" w:pos="-720"/>
          <w:tab w:val="left" w:pos="1440"/>
        </w:tabs>
        <w:suppressAutoHyphens/>
        <w:rPr>
          <w:rFonts w:ascii="Bookman Old Style" w:hAnsi="Bookman Old Style"/>
          <w:spacing w:val="-3"/>
          <w:szCs w:val="24"/>
        </w:rPr>
      </w:pPr>
    </w:p>
    <w:p w:rsidR="000F4846" w:rsidRDefault="000F4846" w:rsidP="000F4846">
      <w:pPr>
        <w:tabs>
          <w:tab w:val="left" w:pos="-720"/>
          <w:tab w:val="left" w:pos="1440"/>
        </w:tabs>
        <w:suppressAutoHyphens/>
        <w:rPr>
          <w:rFonts w:ascii="Bookman Old Style" w:hAnsi="Bookman Old Style"/>
          <w:spacing w:val="-3"/>
          <w:szCs w:val="24"/>
        </w:rPr>
      </w:pPr>
    </w:p>
    <w:p w:rsidR="000F4846" w:rsidRDefault="000F4846" w:rsidP="000F4846">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 xml:space="preserve">The determination issued on </w:t>
      </w:r>
      <w:r w:rsidR="003D1783">
        <w:rPr>
          <w:rFonts w:ascii="Bookman Old Style" w:hAnsi="Bookman Old Style"/>
          <w:szCs w:val="24"/>
        </w:rPr>
        <w:t>September 16, 2021</w:t>
      </w:r>
      <w:r>
        <w:rPr>
          <w:rFonts w:ascii="Bookman Old Style" w:hAnsi="Bookman Old Style"/>
          <w:szCs w:val="24"/>
        </w:rPr>
        <w:t xml:space="preserve"> is </w:t>
      </w:r>
      <w:r w:rsidR="003D1783">
        <w:rPr>
          <w:rFonts w:ascii="Bookman Old Style" w:hAnsi="Bookman Old Style"/>
          <w:b/>
          <w:szCs w:val="24"/>
        </w:rPr>
        <w:t>AFFIRMED</w:t>
      </w:r>
      <w:r>
        <w:rPr>
          <w:rFonts w:ascii="Bookman Old Style" w:hAnsi="Bookman Old Style"/>
          <w:szCs w:val="24"/>
        </w:rPr>
        <w:t xml:space="preserve">. Extended benefits remain denied. </w:t>
      </w:r>
    </w:p>
    <w:p w:rsidR="0046604B" w:rsidRPr="003D1783" w:rsidRDefault="0046604B" w:rsidP="00304946">
      <w:pPr>
        <w:pStyle w:val="Heading4"/>
        <w:jc w:val="center"/>
        <w:rPr>
          <w:rFonts w:ascii="Bookman Old Style" w:hAnsi="Bookman Old Style"/>
          <w:i w:val="0"/>
          <w:color w:val="auto"/>
          <w:szCs w:val="24"/>
        </w:rPr>
      </w:pPr>
      <w:r w:rsidRPr="003D1783">
        <w:rPr>
          <w:rFonts w:ascii="Bookman Old Style" w:hAnsi="Bookman Old Style"/>
          <w:i w:val="0"/>
          <w:color w:val="auto"/>
          <w:szCs w:val="24"/>
        </w:rPr>
        <w:t>APPEAL RIGHTS</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This decision is final unless an appeal is filed to the Commissioner of Labor and Workforce Development within </w:t>
      </w:r>
      <w:r w:rsidRPr="00304946">
        <w:rPr>
          <w:rFonts w:ascii="Bookman Old Style" w:hAnsi="Bookman Old Style"/>
          <w:b/>
          <w:szCs w:val="24"/>
          <w:u w:val="single"/>
        </w:rPr>
        <w:t>30 days</w:t>
      </w:r>
      <w:r w:rsidRPr="00304946">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5E53D0" w:rsidP="00304946">
      <w:pPr>
        <w:tabs>
          <w:tab w:val="left" w:pos="-1440"/>
          <w:tab w:val="left" w:pos="-720"/>
        </w:tabs>
        <w:rPr>
          <w:rFonts w:ascii="Bookman Old Style" w:hAnsi="Bookman Old Style"/>
          <w:szCs w:val="24"/>
        </w:rPr>
      </w:pPr>
      <w:r w:rsidRPr="00304946">
        <w:rPr>
          <w:rFonts w:ascii="Bookman Old Style" w:hAnsi="Bookman Old Style"/>
          <w:szCs w:val="24"/>
        </w:rPr>
        <w:t>Dated and m</w:t>
      </w:r>
      <w:r w:rsidR="0046604B" w:rsidRPr="00304946">
        <w:rPr>
          <w:rFonts w:ascii="Bookman Old Style" w:hAnsi="Bookman Old Style"/>
          <w:szCs w:val="24"/>
        </w:rPr>
        <w:t xml:space="preserve">ailed on </w:t>
      </w:r>
      <w:r w:rsidR="003D1783">
        <w:rPr>
          <w:rFonts w:ascii="Bookman Old Style" w:hAnsi="Bookman Old Style"/>
          <w:szCs w:val="24"/>
        </w:rPr>
        <w:t>November 17, 2021</w:t>
      </w:r>
      <w:r w:rsidR="0046604B" w:rsidRPr="00304946">
        <w:rPr>
          <w:rFonts w:ascii="Bookman Old Style" w:hAnsi="Bookman Old Style"/>
          <w:szCs w:val="24"/>
        </w:rPr>
        <w:t>.</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t xml:space="preserve">      </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p>
    <w:p w:rsidR="00C03E8B"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              </w:t>
      </w:r>
      <w:r w:rsidRPr="00304946">
        <w:rPr>
          <w:rFonts w:ascii="Bookman Old Style" w:hAnsi="Bookman Old Style"/>
          <w:szCs w:val="24"/>
        </w:rPr>
        <w:tab/>
        <w:t xml:space="preserve">                                           </w:t>
      </w:r>
      <w:r w:rsidR="00C03E8B">
        <w:rPr>
          <w:rFonts w:ascii="Bookman Old Style" w:hAnsi="Bookman Old Style"/>
          <w:szCs w:val="24"/>
        </w:rPr>
        <w:tab/>
        <w:t>Tom Mize</w:t>
      </w:r>
      <w:r w:rsidR="00591E67">
        <w:rPr>
          <w:rFonts w:ascii="Bookman Old Style" w:hAnsi="Bookman Old Style"/>
          <w:szCs w:val="24"/>
        </w:rPr>
        <w:t xml:space="preserve"> </w:t>
      </w:r>
    </w:p>
    <w:p w:rsidR="0046604B" w:rsidRPr="00304946" w:rsidRDefault="00C03E8B" w:rsidP="00304946">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591E67">
        <w:rPr>
          <w:rFonts w:ascii="Bookman Old Style" w:hAnsi="Bookman Old Style"/>
          <w:szCs w:val="24"/>
        </w:rPr>
        <w:t>Appeals</w:t>
      </w:r>
      <w:r w:rsidR="0046604B" w:rsidRPr="00304946">
        <w:rPr>
          <w:rFonts w:ascii="Bookman Old Style" w:hAnsi="Bookman Old Style"/>
          <w:szCs w:val="24"/>
        </w:rPr>
        <w:t xml:space="preserve"> Officer</w:t>
      </w:r>
    </w:p>
    <w:p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default" r:id="rId10"/>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478" w:rsidRDefault="003B1478">
      <w:pPr>
        <w:widowControl/>
        <w:spacing w:line="20" w:lineRule="exact"/>
      </w:pPr>
    </w:p>
  </w:endnote>
  <w:endnote w:type="continuationSeparator" w:id="0">
    <w:p w:rsidR="003B1478" w:rsidRDefault="003B1478">
      <w:r>
        <w:t xml:space="preserve"> </w:t>
      </w:r>
    </w:p>
  </w:endnote>
  <w:endnote w:type="continuationNotice" w:id="1">
    <w:p w:rsidR="003B1478" w:rsidRDefault="003B147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478" w:rsidRDefault="003B1478">
      <w:r>
        <w:separator/>
      </w:r>
    </w:p>
  </w:footnote>
  <w:footnote w:type="continuationSeparator" w:id="0">
    <w:p w:rsidR="003B1478" w:rsidRDefault="003B1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DC8" w:rsidRDefault="005C1A5F">
    <w:pPr>
      <w:pStyle w:val="Header"/>
      <w:rPr>
        <w:rFonts w:ascii="Bookman Old Style" w:hAnsi="Bookman Old Style"/>
        <w:sz w:val="22"/>
      </w:rPr>
    </w:pPr>
    <w:r>
      <w:rPr>
        <w:rFonts w:ascii="Bookman Old Style" w:hAnsi="Bookman Old Style"/>
        <w:sz w:val="22"/>
      </w:rPr>
      <w:t>DK# 21 1367</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227B89">
      <w:rPr>
        <w:rStyle w:val="PageNumber"/>
        <w:rFonts w:ascii="Bookman Old Style" w:hAnsi="Bookman Old Style"/>
        <w:noProof/>
      </w:rPr>
      <w:t>3</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64666"/>
    <w:multiLevelType w:val="hybridMultilevel"/>
    <w:tmpl w:val="8A2A0474"/>
    <w:lvl w:ilvl="0" w:tplc="3058F3E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D2A1D"/>
    <w:multiLevelType w:val="singleLevel"/>
    <w:tmpl w:val="893C24F8"/>
    <w:lvl w:ilvl="0">
      <w:start w:val="2"/>
      <w:numFmt w:val="lowerLetter"/>
      <w:lvlText w:val="(%1)"/>
      <w:lvlJc w:val="left"/>
      <w:pPr>
        <w:tabs>
          <w:tab w:val="num" w:pos="1530"/>
        </w:tabs>
        <w:ind w:left="1530" w:hanging="720"/>
      </w:pPr>
      <w:rPr>
        <w:rFonts w:hint="default"/>
      </w:rPr>
    </w:lvl>
  </w:abstractNum>
  <w:abstractNum w:abstractNumId="2" w15:restartNumberingAfterBreak="0">
    <w:nsid w:val="09BA4DDA"/>
    <w:multiLevelType w:val="hybridMultilevel"/>
    <w:tmpl w:val="84A8A312"/>
    <w:lvl w:ilvl="0" w:tplc="ABA4474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2B24F0C"/>
    <w:multiLevelType w:val="hybridMultilevel"/>
    <w:tmpl w:val="2BAEFBBC"/>
    <w:lvl w:ilvl="0" w:tplc="5952384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6BD63FAD"/>
    <w:multiLevelType w:val="hybridMultilevel"/>
    <w:tmpl w:val="DE224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abstractNum w:abstractNumId="6" w15:restartNumberingAfterBreak="0">
    <w:nsid w:val="7693312E"/>
    <w:multiLevelType w:val="hybridMultilevel"/>
    <w:tmpl w:val="05480786"/>
    <w:lvl w:ilvl="0" w:tplc="50FC66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
  </w:num>
  <w:num w:numId="3">
    <w:abstractNumId w:val="4"/>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8B"/>
    <w:rsid w:val="00001E6A"/>
    <w:rsid w:val="00034258"/>
    <w:rsid w:val="0007021A"/>
    <w:rsid w:val="00087A38"/>
    <w:rsid w:val="000B3C03"/>
    <w:rsid w:val="000C07A1"/>
    <w:rsid w:val="000E242A"/>
    <w:rsid w:val="000E7714"/>
    <w:rsid w:val="000F4846"/>
    <w:rsid w:val="001249C2"/>
    <w:rsid w:val="00152606"/>
    <w:rsid w:val="00171C06"/>
    <w:rsid w:val="001E5A34"/>
    <w:rsid w:val="001F564A"/>
    <w:rsid w:val="001F6B5B"/>
    <w:rsid w:val="00227B89"/>
    <w:rsid w:val="00280EFF"/>
    <w:rsid w:val="002A1EF1"/>
    <w:rsid w:val="002D7F1A"/>
    <w:rsid w:val="00304946"/>
    <w:rsid w:val="00324065"/>
    <w:rsid w:val="00341E3C"/>
    <w:rsid w:val="00347206"/>
    <w:rsid w:val="00382259"/>
    <w:rsid w:val="003B1478"/>
    <w:rsid w:val="003D1783"/>
    <w:rsid w:val="00426766"/>
    <w:rsid w:val="0046604B"/>
    <w:rsid w:val="00476DC4"/>
    <w:rsid w:val="004D05FC"/>
    <w:rsid w:val="004E01C7"/>
    <w:rsid w:val="004F3BD6"/>
    <w:rsid w:val="004F7405"/>
    <w:rsid w:val="00550884"/>
    <w:rsid w:val="00591E67"/>
    <w:rsid w:val="00591FFA"/>
    <w:rsid w:val="005A674B"/>
    <w:rsid w:val="005C1A5F"/>
    <w:rsid w:val="005E0966"/>
    <w:rsid w:val="005E53D0"/>
    <w:rsid w:val="006619FF"/>
    <w:rsid w:val="00682FEC"/>
    <w:rsid w:val="006C67EA"/>
    <w:rsid w:val="006D130E"/>
    <w:rsid w:val="00703025"/>
    <w:rsid w:val="0070737C"/>
    <w:rsid w:val="00713867"/>
    <w:rsid w:val="00746072"/>
    <w:rsid w:val="00780095"/>
    <w:rsid w:val="00782350"/>
    <w:rsid w:val="0078796F"/>
    <w:rsid w:val="008034CB"/>
    <w:rsid w:val="00812C65"/>
    <w:rsid w:val="00824A4C"/>
    <w:rsid w:val="00871694"/>
    <w:rsid w:val="00890A0D"/>
    <w:rsid w:val="00897129"/>
    <w:rsid w:val="008A3E67"/>
    <w:rsid w:val="008A7C3E"/>
    <w:rsid w:val="008E3C9F"/>
    <w:rsid w:val="0090239B"/>
    <w:rsid w:val="0095267F"/>
    <w:rsid w:val="009842BF"/>
    <w:rsid w:val="009F1763"/>
    <w:rsid w:val="00A158AF"/>
    <w:rsid w:val="00A91EDD"/>
    <w:rsid w:val="00AB39A5"/>
    <w:rsid w:val="00AC6389"/>
    <w:rsid w:val="00AD5027"/>
    <w:rsid w:val="00AE37DC"/>
    <w:rsid w:val="00AE39CC"/>
    <w:rsid w:val="00AE5DCB"/>
    <w:rsid w:val="00B6422F"/>
    <w:rsid w:val="00B72674"/>
    <w:rsid w:val="00BB5A6F"/>
    <w:rsid w:val="00BB5BDD"/>
    <w:rsid w:val="00BC45C9"/>
    <w:rsid w:val="00BD2E24"/>
    <w:rsid w:val="00C03E8B"/>
    <w:rsid w:val="00C56D4F"/>
    <w:rsid w:val="00D94DC8"/>
    <w:rsid w:val="00DC68B2"/>
    <w:rsid w:val="00E13AAA"/>
    <w:rsid w:val="00E2668C"/>
    <w:rsid w:val="00E95F25"/>
    <w:rsid w:val="00EA2CC6"/>
    <w:rsid w:val="00EB4EAF"/>
    <w:rsid w:val="00F06561"/>
    <w:rsid w:val="00F15EFB"/>
    <w:rsid w:val="00F20A30"/>
    <w:rsid w:val="00F82055"/>
    <w:rsid w:val="00F9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F9DA5F"/>
  <w15:chartTrackingRefBased/>
  <w15:docId w15:val="{B738F8AF-070F-4618-9400-F008009A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semiHidden/>
    <w:rsid w:val="0078796F"/>
    <w:rPr>
      <w:rFonts w:ascii="Cambria" w:eastAsia="Times New Roman" w:hAnsi="Cambria" w:cs="Times New Roman"/>
      <w:b/>
      <w:bCs/>
      <w:i/>
      <w:iCs/>
      <w:snapToGrid w:val="0"/>
      <w:color w:val="4F81BD"/>
      <w:sz w:val="24"/>
    </w:rPr>
  </w:style>
  <w:style w:type="paragraph" w:customStyle="1" w:styleId="Default">
    <w:name w:val="Default"/>
    <w:rsid w:val="00BB5A6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E5DCB"/>
    <w:pPr>
      <w:snapToGrid w:val="0"/>
      <w:ind w:left="720"/>
      <w:contextualSpacing/>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127091974">
      <w:bodyDiv w:val="1"/>
      <w:marLeft w:val="0"/>
      <w:marRight w:val="0"/>
      <w:marTop w:val="0"/>
      <w:marBottom w:val="0"/>
      <w:divBdr>
        <w:top w:val="none" w:sz="0" w:space="0" w:color="auto"/>
        <w:left w:val="none" w:sz="0" w:space="0" w:color="auto"/>
        <w:bottom w:val="none" w:sz="0" w:space="0" w:color="auto"/>
        <w:right w:val="none" w:sz="0" w:space="0" w:color="auto"/>
      </w:divBdr>
    </w:div>
    <w:div w:id="759569566">
      <w:bodyDiv w:val="1"/>
      <w:marLeft w:val="0"/>
      <w:marRight w:val="0"/>
      <w:marTop w:val="0"/>
      <w:marBottom w:val="0"/>
      <w:divBdr>
        <w:top w:val="none" w:sz="0" w:space="0" w:color="auto"/>
        <w:left w:val="none" w:sz="0" w:space="0" w:color="auto"/>
        <w:bottom w:val="none" w:sz="0" w:space="0" w:color="auto"/>
        <w:right w:val="none" w:sz="0" w:space="0" w:color="auto"/>
      </w:divBdr>
    </w:div>
    <w:div w:id="1055078630">
      <w:bodyDiv w:val="1"/>
      <w:marLeft w:val="0"/>
      <w:marRight w:val="0"/>
      <w:marTop w:val="0"/>
      <w:marBottom w:val="0"/>
      <w:divBdr>
        <w:top w:val="none" w:sz="0" w:space="0" w:color="auto"/>
        <w:left w:val="none" w:sz="0" w:space="0" w:color="auto"/>
        <w:bottom w:val="none" w:sz="0" w:space="0" w:color="auto"/>
        <w:right w:val="none" w:sz="0" w:space="0" w:color="auto"/>
      </w:divBdr>
    </w:div>
    <w:div w:id="1296830585">
      <w:bodyDiv w:val="1"/>
      <w:marLeft w:val="0"/>
      <w:marRight w:val="0"/>
      <w:marTop w:val="0"/>
      <w:marBottom w:val="0"/>
      <w:divBdr>
        <w:top w:val="none" w:sz="0" w:space="0" w:color="auto"/>
        <w:left w:val="none" w:sz="0" w:space="0" w:color="auto"/>
        <w:bottom w:val="none" w:sz="0" w:space="0" w:color="auto"/>
        <w:right w:val="none" w:sz="0" w:space="0" w:color="auto"/>
      </w:divBdr>
    </w:div>
    <w:div w:id="1687438867">
      <w:bodyDiv w:val="1"/>
      <w:marLeft w:val="0"/>
      <w:marRight w:val="0"/>
      <w:marTop w:val="0"/>
      <w:marBottom w:val="0"/>
      <w:divBdr>
        <w:top w:val="none" w:sz="0" w:space="0" w:color="auto"/>
        <w:left w:val="none" w:sz="0" w:space="0" w:color="auto"/>
        <w:bottom w:val="none" w:sz="0" w:space="0" w:color="auto"/>
        <w:right w:val="none" w:sz="0" w:space="0" w:color="auto"/>
      </w:divBdr>
    </w:div>
    <w:div w:id="2014140919">
      <w:bodyDiv w:val="1"/>
      <w:marLeft w:val="0"/>
      <w:marRight w:val="0"/>
      <w:marTop w:val="0"/>
      <w:marBottom w:val="0"/>
      <w:divBdr>
        <w:top w:val="none" w:sz="0" w:space="0" w:color="auto"/>
        <w:left w:val="none" w:sz="0" w:space="0" w:color="auto"/>
        <w:bottom w:val="none" w:sz="0" w:space="0" w:color="auto"/>
        <w:right w:val="none" w:sz="0" w:space="0" w:color="auto"/>
      </w:divBdr>
    </w:div>
    <w:div w:id="2070767644">
      <w:bodyDiv w:val="1"/>
      <w:marLeft w:val="0"/>
      <w:marRight w:val="0"/>
      <w:marTop w:val="0"/>
      <w:marBottom w:val="0"/>
      <w:divBdr>
        <w:top w:val="none" w:sz="0" w:space="0" w:color="auto"/>
        <w:left w:val="none" w:sz="0" w:space="0" w:color="auto"/>
        <w:bottom w:val="none" w:sz="0" w:space="0" w:color="auto"/>
        <w:right w:val="none" w:sz="0" w:space="0" w:color="auto"/>
      </w:divBdr>
    </w:div>
    <w:div w:id="212449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Tom's%20new%20templates\03-81-85%20Timeliness%20and%20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DA9AD-893D-4D1C-A49F-DE12B2FC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03-81-85 Timeliness and EB.dot</Template>
  <TotalTime>47</TotalTime>
  <Pages>1</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Mize, Thomas L (DOL)</dc:creator>
  <cp:keywords/>
  <cp:lastModifiedBy>Mize, Tom L (DOL)</cp:lastModifiedBy>
  <cp:revision>8</cp:revision>
  <cp:lastPrinted>2021-11-17T00:49:00Z</cp:lastPrinted>
  <dcterms:created xsi:type="dcterms:W3CDTF">2021-11-17T00:01:00Z</dcterms:created>
  <dcterms:modified xsi:type="dcterms:W3CDTF">2021-11-17T00:59:00Z</dcterms:modified>
</cp:coreProperties>
</file>