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3FB1" w14:textId="77777777" w:rsidR="00EB0E9D" w:rsidRPr="00D82DF6" w:rsidRDefault="005A6770"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pict w14:anchorId="48653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6pt;margin-top:-20.95pt;width:586.9pt;height:137.8pt;z-index:-251658752">
            <v:imagedata r:id="rId8" o:title="Appeals_Letterhead_Banner"/>
          </v:shape>
        </w:pict>
      </w:r>
    </w:p>
    <w:p w14:paraId="2EB62B64"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1DAB56C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12BB8CC"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155D5B07"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3979EB1E"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153DB3FE"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B2EE5CC" w14:textId="77777777" w:rsidR="00EB0E9D" w:rsidRPr="00D82DF6" w:rsidRDefault="00EB0E9D" w:rsidP="00D82DF6">
      <w:pPr>
        <w:widowControl/>
        <w:tabs>
          <w:tab w:val="left" w:pos="-720"/>
        </w:tabs>
        <w:suppressAutoHyphens/>
        <w:rPr>
          <w:rFonts w:ascii="Bookman Old Style" w:hAnsi="Bookman Old Style"/>
          <w:szCs w:val="24"/>
        </w:rPr>
      </w:pPr>
    </w:p>
    <w:p w14:paraId="5132AABC"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1FCCD03B" w14:textId="77777777" w:rsidR="005A281D" w:rsidRPr="00D82DF6" w:rsidRDefault="005A281D" w:rsidP="00D82DF6">
      <w:pPr>
        <w:widowControl/>
        <w:tabs>
          <w:tab w:val="left" w:pos="-720"/>
        </w:tabs>
        <w:suppressAutoHyphens/>
        <w:rPr>
          <w:rFonts w:ascii="Bookman Old Style" w:hAnsi="Bookman Old Style"/>
          <w:szCs w:val="24"/>
        </w:rPr>
      </w:pPr>
    </w:p>
    <w:p w14:paraId="0F5D2A6C" w14:textId="42E2118E" w:rsidR="00441439"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A461E8">
        <w:rPr>
          <w:rFonts w:ascii="Bookman Old Style" w:hAnsi="Bookman Old Style"/>
          <w:szCs w:val="24"/>
        </w:rPr>
        <w:t>21 1690</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A461E8">
        <w:rPr>
          <w:rFonts w:ascii="Bookman Old Style" w:hAnsi="Bookman Old Style"/>
          <w:szCs w:val="24"/>
        </w:rPr>
        <w:t>February 9, 2022</w:t>
      </w:r>
    </w:p>
    <w:p w14:paraId="75C84D4C" w14:textId="3BC083F5" w:rsidR="00A461E8" w:rsidRPr="00D82DF6" w:rsidRDefault="00A461E8" w:rsidP="00A461E8">
      <w:pPr>
        <w:widowControl/>
        <w:tabs>
          <w:tab w:val="center" w:pos="4680"/>
        </w:tabs>
        <w:suppressAutoHyphens/>
        <w:outlineLvl w:val="0"/>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t xml:space="preserve">      </w:t>
      </w:r>
      <w:r w:rsidR="008E26BE">
        <w:rPr>
          <w:rFonts w:ascii="Bookman Old Style" w:hAnsi="Bookman Old Style"/>
          <w:szCs w:val="24"/>
        </w:rPr>
        <w:t xml:space="preserve"> </w:t>
      </w:r>
      <w:r>
        <w:rPr>
          <w:rFonts w:ascii="Bookman Old Style" w:hAnsi="Bookman Old Style"/>
          <w:szCs w:val="24"/>
        </w:rPr>
        <w:t>February 17, 2022</w:t>
      </w:r>
    </w:p>
    <w:p w14:paraId="0431338D"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6E93522E" w14:textId="77777777"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24C4A420"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4A9985CE" w14:textId="0ED3D4BC" w:rsidR="00A461E8" w:rsidRPr="00A461E8" w:rsidRDefault="00A461E8" w:rsidP="00A461E8">
      <w:pPr>
        <w:widowControl/>
        <w:tabs>
          <w:tab w:val="left" w:pos="-1440"/>
          <w:tab w:val="left" w:pos="-720"/>
          <w:tab w:val="left" w:pos="0"/>
          <w:tab w:val="left" w:pos="5760"/>
        </w:tabs>
        <w:suppressAutoHyphens/>
        <w:ind w:right="-360"/>
        <w:rPr>
          <w:rFonts w:ascii="Bookman Old Style" w:hAnsi="Bookman Old Style"/>
          <w:szCs w:val="24"/>
        </w:rPr>
      </w:pPr>
      <w:r w:rsidRPr="00A461E8">
        <w:rPr>
          <w:rFonts w:ascii="Bookman Old Style" w:hAnsi="Bookman Old Style"/>
          <w:szCs w:val="24"/>
        </w:rPr>
        <w:t>SARAH LAMP</w:t>
      </w:r>
      <w:r>
        <w:rPr>
          <w:rFonts w:ascii="Bookman Old Style" w:hAnsi="Bookman Old Style"/>
          <w:szCs w:val="24"/>
        </w:rPr>
        <w:tab/>
        <w:t>STATE OF ALASKA</w:t>
      </w:r>
    </w:p>
    <w:p w14:paraId="7EAF0686" w14:textId="39071F87" w:rsidR="00A461E8" w:rsidRPr="00A461E8" w:rsidRDefault="00A461E8" w:rsidP="00A461E8">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t>DEPARTMENT OF LAW</w:t>
      </w:r>
    </w:p>
    <w:p w14:paraId="7461F436" w14:textId="6151478C"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0632A6F8" w14:textId="603C3B27" w:rsidR="005A6770" w:rsidRDefault="005A6770" w:rsidP="00D82DF6">
      <w:pPr>
        <w:widowControl/>
        <w:tabs>
          <w:tab w:val="left" w:pos="-1440"/>
          <w:tab w:val="left" w:pos="-720"/>
          <w:tab w:val="left" w:pos="0"/>
          <w:tab w:val="left" w:pos="5760"/>
        </w:tabs>
        <w:suppressAutoHyphens/>
        <w:ind w:right="-360"/>
        <w:rPr>
          <w:rFonts w:ascii="Bookman Old Style" w:hAnsi="Bookman Old Style"/>
          <w:szCs w:val="24"/>
        </w:rPr>
      </w:pPr>
    </w:p>
    <w:p w14:paraId="01B636D1" w14:textId="77777777" w:rsidR="005A6770" w:rsidRPr="00D82DF6" w:rsidRDefault="005A6770" w:rsidP="00D82DF6">
      <w:pPr>
        <w:widowControl/>
        <w:tabs>
          <w:tab w:val="left" w:pos="-1440"/>
          <w:tab w:val="left" w:pos="-720"/>
          <w:tab w:val="left" w:pos="0"/>
          <w:tab w:val="left" w:pos="5760"/>
        </w:tabs>
        <w:suppressAutoHyphens/>
        <w:ind w:right="-360"/>
        <w:rPr>
          <w:rFonts w:ascii="Bookman Old Style" w:hAnsi="Bookman Old Style"/>
          <w:szCs w:val="24"/>
        </w:rPr>
      </w:pPr>
    </w:p>
    <w:p w14:paraId="6CE2C2DC"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525A6CE1"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0FBC45FA" w14:textId="366F41F7" w:rsidR="00F86834" w:rsidRDefault="00A461E8"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Sarah Lamp</w:t>
      </w:r>
      <w:r w:rsidR="00441439" w:rsidRPr="00D82DF6">
        <w:rPr>
          <w:rFonts w:ascii="Bookman Old Style" w:hAnsi="Bookman Old Style"/>
          <w:szCs w:val="24"/>
        </w:rPr>
        <w:tab/>
      </w:r>
      <w:r>
        <w:rPr>
          <w:rFonts w:ascii="Bookman Old Style" w:hAnsi="Bookman Old Style"/>
          <w:szCs w:val="24"/>
        </w:rPr>
        <w:t>None</w:t>
      </w:r>
    </w:p>
    <w:p w14:paraId="41EC3451" w14:textId="77777777" w:rsidR="00F86834" w:rsidRPr="00D82DF6" w:rsidRDefault="00F86834" w:rsidP="00D82DF6">
      <w:pPr>
        <w:widowControl/>
        <w:tabs>
          <w:tab w:val="left" w:pos="-1440"/>
          <w:tab w:val="left" w:pos="-720"/>
          <w:tab w:val="left" w:pos="0"/>
          <w:tab w:val="left" w:pos="5760"/>
        </w:tabs>
        <w:suppressAutoHyphens/>
        <w:ind w:right="-360"/>
        <w:rPr>
          <w:rFonts w:ascii="Bookman Old Style" w:hAnsi="Bookman Old Style"/>
          <w:szCs w:val="24"/>
        </w:rPr>
      </w:pPr>
    </w:p>
    <w:p w14:paraId="295EE192"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380061A0" w14:textId="77777777" w:rsidR="00441439" w:rsidRPr="00D82DF6" w:rsidRDefault="00441439" w:rsidP="00D82DF6">
      <w:pPr>
        <w:tabs>
          <w:tab w:val="left" w:pos="-1440"/>
          <w:tab w:val="left" w:pos="-720"/>
        </w:tabs>
        <w:rPr>
          <w:rFonts w:ascii="Bookman Old Style" w:hAnsi="Bookman Old Style"/>
          <w:szCs w:val="24"/>
        </w:rPr>
      </w:pPr>
    </w:p>
    <w:p w14:paraId="01AE0AD3" w14:textId="1B51163D"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F86834">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timely appealed a</w:t>
      </w:r>
      <w:r w:rsidR="0005318A">
        <w:rPr>
          <w:rFonts w:ascii="Bookman Old Style" w:hAnsi="Bookman Old Style"/>
          <w:snapToGrid/>
          <w:szCs w:val="24"/>
        </w:rPr>
        <w:t>n</w:t>
      </w:r>
      <w:r w:rsidRPr="00D82DF6">
        <w:rPr>
          <w:rFonts w:ascii="Bookman Old Style" w:hAnsi="Bookman Old Style"/>
          <w:snapToGrid/>
          <w:szCs w:val="24"/>
        </w:rPr>
        <w:t xml:space="preserve"> </w:t>
      </w:r>
      <w:r w:rsidR="00F86834">
        <w:rPr>
          <w:rFonts w:ascii="Bookman Old Style" w:hAnsi="Bookman Old Style"/>
          <w:snapToGrid/>
          <w:szCs w:val="24"/>
        </w:rPr>
        <w:t xml:space="preserve">August 17, </w:t>
      </w:r>
      <w:proofErr w:type="gramStart"/>
      <w:r w:rsidR="00F86834">
        <w:rPr>
          <w:rFonts w:ascii="Bookman Old Style" w:hAnsi="Bookman Old Style"/>
          <w:snapToGrid/>
          <w:szCs w:val="24"/>
        </w:rPr>
        <w:t>2021</w:t>
      </w:r>
      <w:proofErr w:type="gramEnd"/>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0CE1F003"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52C14EC6" w14:textId="77777777" w:rsidR="00441439" w:rsidRPr="00D82DF6" w:rsidRDefault="00441439" w:rsidP="00D82DF6">
      <w:pPr>
        <w:tabs>
          <w:tab w:val="left" w:pos="-1440"/>
          <w:tab w:val="left" w:pos="-720"/>
        </w:tabs>
        <w:rPr>
          <w:rFonts w:ascii="Bookman Old Style" w:hAnsi="Bookman Old Style"/>
          <w:szCs w:val="24"/>
        </w:rPr>
      </w:pPr>
    </w:p>
    <w:p w14:paraId="2E90A961" w14:textId="7B17F7B0"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F86834">
        <w:rPr>
          <w:rFonts w:ascii="Bookman Old Style" w:hAnsi="Bookman Old Style"/>
          <w:snapToGrid/>
          <w:szCs w:val="24"/>
        </w:rPr>
        <w:t>December 26, 2017</w:t>
      </w:r>
      <w:r w:rsidRPr="00D82DF6">
        <w:rPr>
          <w:rFonts w:ascii="Bookman Old Style" w:hAnsi="Bookman Old Style"/>
          <w:snapToGrid/>
          <w:szCs w:val="24"/>
        </w:rPr>
        <w:t xml:space="preserve">. </w:t>
      </w:r>
      <w:r w:rsidR="00F86834">
        <w:rPr>
          <w:rFonts w:ascii="Bookman Old Style" w:hAnsi="Bookman Old Style"/>
          <w:snapToGrid/>
          <w:szCs w:val="24"/>
        </w:rPr>
        <w:t>She</w:t>
      </w:r>
      <w:r w:rsidRPr="00D82DF6">
        <w:rPr>
          <w:rFonts w:ascii="Bookman Old Style" w:hAnsi="Bookman Old Style"/>
          <w:snapToGrid/>
          <w:szCs w:val="24"/>
        </w:rPr>
        <w:t xml:space="preserve"> last worked on </w:t>
      </w:r>
      <w:r w:rsidR="00F86834">
        <w:rPr>
          <w:rFonts w:ascii="Bookman Old Style" w:hAnsi="Bookman Old Style"/>
          <w:snapToGrid/>
          <w:szCs w:val="24"/>
        </w:rPr>
        <w:t>June 11, 2021</w:t>
      </w:r>
      <w:r w:rsidRPr="00D82DF6">
        <w:rPr>
          <w:rFonts w:ascii="Bookman Old Style" w:hAnsi="Bookman Old Style"/>
          <w:snapToGrid/>
          <w:szCs w:val="24"/>
        </w:rPr>
        <w:t xml:space="preserve">. At that time, </w:t>
      </w:r>
      <w:r w:rsidR="00F86834">
        <w:rPr>
          <w:rFonts w:ascii="Bookman Old Style" w:hAnsi="Bookman Old Style"/>
          <w:snapToGrid/>
          <w:szCs w:val="24"/>
        </w:rPr>
        <w:t>she</w:t>
      </w:r>
      <w:r w:rsidRPr="00D82DF6">
        <w:rPr>
          <w:rFonts w:ascii="Bookman Old Style" w:hAnsi="Bookman Old Style"/>
          <w:snapToGrid/>
          <w:szCs w:val="24"/>
        </w:rPr>
        <w:t xml:space="preserve"> worked </w:t>
      </w:r>
      <w:r w:rsidR="00F86834">
        <w:rPr>
          <w:rFonts w:ascii="Bookman Old Style" w:hAnsi="Bookman Old Style"/>
          <w:snapToGrid/>
          <w:szCs w:val="24"/>
        </w:rPr>
        <w:t>full-</w:t>
      </w:r>
      <w:r w:rsidR="0005318A">
        <w:rPr>
          <w:rFonts w:ascii="Bookman Old Style" w:hAnsi="Bookman Old Style"/>
          <w:snapToGrid/>
          <w:szCs w:val="24"/>
        </w:rPr>
        <w:t>time</w:t>
      </w:r>
      <w:r w:rsidRPr="00D82DF6">
        <w:rPr>
          <w:rFonts w:ascii="Bookman Old Style" w:hAnsi="Bookman Old Style"/>
          <w:snapToGrid/>
          <w:szCs w:val="24"/>
        </w:rPr>
        <w:t xml:space="preserve"> as a </w:t>
      </w:r>
      <w:r w:rsidR="00F86834">
        <w:rPr>
          <w:rFonts w:ascii="Bookman Old Style" w:hAnsi="Bookman Old Style"/>
          <w:snapToGrid/>
          <w:szCs w:val="24"/>
        </w:rPr>
        <w:t>law office assistant</w:t>
      </w:r>
      <w:r w:rsidRPr="00D82DF6">
        <w:rPr>
          <w:rFonts w:ascii="Bookman Old Style" w:hAnsi="Bookman Old Style"/>
          <w:snapToGrid/>
          <w:szCs w:val="24"/>
        </w:rPr>
        <w:t>.</w:t>
      </w:r>
    </w:p>
    <w:p w14:paraId="6AA5CB88" w14:textId="2FC9D577" w:rsidR="003D294E" w:rsidRDefault="00F86834"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felt that she was being harassed and bullied at work</w:t>
      </w:r>
      <w:r w:rsidR="0005318A">
        <w:rPr>
          <w:rFonts w:ascii="Bookman Old Style" w:hAnsi="Bookman Old Style"/>
          <w:snapToGrid/>
          <w:szCs w:val="24"/>
        </w:rPr>
        <w:t xml:space="preserve"> by her supervisor</w:t>
      </w:r>
      <w:r w:rsidR="003963EA">
        <w:rPr>
          <w:rFonts w:ascii="Bookman Old Style" w:hAnsi="Bookman Old Style"/>
          <w:snapToGrid/>
          <w:szCs w:val="24"/>
        </w:rPr>
        <w:t>s</w:t>
      </w:r>
      <w:r>
        <w:rPr>
          <w:rFonts w:ascii="Bookman Old Style" w:hAnsi="Bookman Old Style"/>
          <w:snapToGrid/>
          <w:szCs w:val="24"/>
        </w:rPr>
        <w:t xml:space="preserve">.  The claimant was written up in 2020 for working overtime without permission. The claimant protested the </w:t>
      </w:r>
      <w:proofErr w:type="gramStart"/>
      <w:r>
        <w:rPr>
          <w:rFonts w:ascii="Bookman Old Style" w:hAnsi="Bookman Old Style"/>
          <w:snapToGrid/>
          <w:szCs w:val="24"/>
        </w:rPr>
        <w:t>write-up</w:t>
      </w:r>
      <w:proofErr w:type="gramEnd"/>
      <w:r>
        <w:rPr>
          <w:rFonts w:ascii="Bookman Old Style" w:hAnsi="Bookman Old Style"/>
          <w:snapToGrid/>
          <w:szCs w:val="24"/>
        </w:rPr>
        <w:t xml:space="preserve"> and it was removed from her file. </w:t>
      </w:r>
      <w:r w:rsidR="003D294E">
        <w:rPr>
          <w:rFonts w:ascii="Bookman Old Style" w:hAnsi="Bookman Old Style"/>
          <w:snapToGrid/>
          <w:szCs w:val="24"/>
        </w:rPr>
        <w:t xml:space="preserve">The claimant was given a case and then immediately asked why her work on the case was late and she was written up. </w:t>
      </w:r>
      <w:r w:rsidR="0005318A">
        <w:rPr>
          <w:rFonts w:ascii="Bookman Old Style" w:hAnsi="Bookman Old Style"/>
          <w:snapToGrid/>
          <w:szCs w:val="24"/>
        </w:rPr>
        <w:t>When she work</w:t>
      </w:r>
      <w:r w:rsidR="00314A77">
        <w:rPr>
          <w:rFonts w:ascii="Bookman Old Style" w:hAnsi="Bookman Old Style"/>
          <w:snapToGrid/>
          <w:szCs w:val="24"/>
        </w:rPr>
        <w:t>ed in the office, t</w:t>
      </w:r>
      <w:r w:rsidR="003D294E">
        <w:rPr>
          <w:rFonts w:ascii="Bookman Old Style" w:hAnsi="Bookman Old Style"/>
          <w:snapToGrid/>
          <w:szCs w:val="24"/>
        </w:rPr>
        <w:t xml:space="preserve">he claimant felt her supervisor monitored her breaks, how many times she went to the bathroom and frequently asked where the claimant was going.  </w:t>
      </w:r>
      <w:r w:rsidR="00314A77">
        <w:rPr>
          <w:rFonts w:ascii="Bookman Old Style" w:hAnsi="Bookman Old Style"/>
          <w:snapToGrid/>
          <w:szCs w:val="24"/>
        </w:rPr>
        <w:t xml:space="preserve">The employer had no complaints about the claimant’s work performance, either in the office or teleworking. </w:t>
      </w:r>
    </w:p>
    <w:p w14:paraId="29F9CEB4" w14:textId="3D795E0E" w:rsidR="003D294E" w:rsidRDefault="003D294E"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out on maternity leave from February 1, </w:t>
      </w:r>
      <w:proofErr w:type="gramStart"/>
      <w:r>
        <w:rPr>
          <w:rFonts w:ascii="Bookman Old Style" w:hAnsi="Bookman Old Style"/>
          <w:snapToGrid/>
          <w:szCs w:val="24"/>
        </w:rPr>
        <w:t>2021</w:t>
      </w:r>
      <w:proofErr w:type="gramEnd"/>
      <w:r>
        <w:rPr>
          <w:rFonts w:ascii="Bookman Old Style" w:hAnsi="Bookman Old Style"/>
          <w:snapToGrid/>
          <w:szCs w:val="24"/>
        </w:rPr>
        <w:t xml:space="preserve"> to June 1, 2021. </w:t>
      </w:r>
      <w:r w:rsidR="00EB29F5">
        <w:rPr>
          <w:rFonts w:ascii="Bookman Old Style" w:hAnsi="Bookman Old Style"/>
          <w:snapToGrid/>
          <w:szCs w:val="24"/>
        </w:rPr>
        <w:t xml:space="preserve">The claimant applied for short term disability and her supervisor told the insurance company there was no reason for the claimant to be out longer than six weeks, requiring the claimant to provide medical documentation to have further leave approved.  </w:t>
      </w:r>
      <w:r>
        <w:rPr>
          <w:rFonts w:ascii="Bookman Old Style" w:hAnsi="Bookman Old Style"/>
          <w:snapToGrid/>
          <w:szCs w:val="24"/>
        </w:rPr>
        <w:t>While she was out</w:t>
      </w:r>
      <w:r w:rsidR="003963EA">
        <w:rPr>
          <w:rFonts w:ascii="Bookman Old Style" w:hAnsi="Bookman Old Style"/>
          <w:snapToGrid/>
          <w:szCs w:val="24"/>
        </w:rPr>
        <w:t xml:space="preserve"> on leave</w:t>
      </w:r>
      <w:r>
        <w:rPr>
          <w:rFonts w:ascii="Bookman Old Style" w:hAnsi="Bookman Old Style"/>
          <w:snapToGrid/>
          <w:szCs w:val="24"/>
        </w:rPr>
        <w:t>, the claimant received calls from co-</w:t>
      </w:r>
      <w:r>
        <w:rPr>
          <w:rFonts w:ascii="Bookman Old Style" w:hAnsi="Bookman Old Style"/>
          <w:snapToGrid/>
          <w:szCs w:val="24"/>
        </w:rPr>
        <w:lastRenderedPageBreak/>
        <w:t xml:space="preserve">workers who told her that supervisors were openly talking in the office about getting the claimant fired as soon as she returned from her leave.  The claimant decided she could not return to work to be harassed or bullied because it caused </w:t>
      </w:r>
      <w:r w:rsidR="0005318A">
        <w:rPr>
          <w:rFonts w:ascii="Bookman Old Style" w:hAnsi="Bookman Old Style"/>
          <w:snapToGrid/>
          <w:szCs w:val="24"/>
        </w:rPr>
        <w:t xml:space="preserve">her </w:t>
      </w:r>
      <w:r>
        <w:rPr>
          <w:rFonts w:ascii="Bookman Old Style" w:hAnsi="Bookman Old Style"/>
          <w:snapToGrid/>
          <w:szCs w:val="24"/>
        </w:rPr>
        <w:t xml:space="preserve">depression, physical </w:t>
      </w:r>
      <w:proofErr w:type="gramStart"/>
      <w:r>
        <w:rPr>
          <w:rFonts w:ascii="Bookman Old Style" w:hAnsi="Bookman Old Style"/>
          <w:snapToGrid/>
          <w:szCs w:val="24"/>
        </w:rPr>
        <w:t>issues</w:t>
      </w:r>
      <w:proofErr w:type="gramEnd"/>
      <w:r>
        <w:rPr>
          <w:rFonts w:ascii="Bookman Old Style" w:hAnsi="Bookman Old Style"/>
          <w:snapToGrid/>
          <w:szCs w:val="24"/>
        </w:rPr>
        <w:t xml:space="preserve"> and family</w:t>
      </w:r>
      <w:r w:rsidR="0005318A">
        <w:rPr>
          <w:rFonts w:ascii="Bookman Old Style" w:hAnsi="Bookman Old Style"/>
          <w:snapToGrid/>
          <w:szCs w:val="24"/>
        </w:rPr>
        <w:t xml:space="preserve"> issues</w:t>
      </w:r>
      <w:r>
        <w:rPr>
          <w:rFonts w:ascii="Bookman Old Style" w:hAnsi="Bookman Old Style"/>
          <w:snapToGrid/>
          <w:szCs w:val="24"/>
        </w:rPr>
        <w:t xml:space="preserve">. </w:t>
      </w:r>
    </w:p>
    <w:p w14:paraId="7EBEBA96" w14:textId="3EF27AF9" w:rsidR="00D82DF6" w:rsidRPr="00D82DF6" w:rsidRDefault="00EB29F5"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did not bring her concerns </w:t>
      </w:r>
      <w:r w:rsidR="00A7429A">
        <w:rPr>
          <w:rFonts w:ascii="Bookman Old Style" w:hAnsi="Bookman Old Style"/>
          <w:snapToGrid/>
          <w:szCs w:val="24"/>
        </w:rPr>
        <w:t xml:space="preserve">about the phone calls </w:t>
      </w:r>
      <w:r>
        <w:rPr>
          <w:rFonts w:ascii="Bookman Old Style" w:hAnsi="Bookman Old Style"/>
          <w:snapToGrid/>
          <w:szCs w:val="24"/>
        </w:rPr>
        <w:t>to the employer because the present office manager was leaving. The claimant talked about her concerns with her union representative, who urged her to file a grievance. The claimant did not f</w:t>
      </w:r>
      <w:r w:rsidR="00A7429A">
        <w:rPr>
          <w:rFonts w:ascii="Bookman Old Style" w:hAnsi="Bookman Old Style"/>
          <w:snapToGrid/>
          <w:szCs w:val="24"/>
        </w:rPr>
        <w:t>ile</w:t>
      </w:r>
      <w:r>
        <w:rPr>
          <w:rFonts w:ascii="Bookman Old Style" w:hAnsi="Bookman Old Style"/>
          <w:snapToGrid/>
          <w:szCs w:val="24"/>
        </w:rPr>
        <w:t xml:space="preserve"> a grievance </w:t>
      </w:r>
      <w:r w:rsidR="00A7429A">
        <w:rPr>
          <w:rFonts w:ascii="Bookman Old Style" w:hAnsi="Bookman Old Style"/>
          <w:snapToGrid/>
          <w:szCs w:val="24"/>
        </w:rPr>
        <w:t xml:space="preserve">because she did not think it </w:t>
      </w:r>
      <w:r>
        <w:rPr>
          <w:rFonts w:ascii="Bookman Old Style" w:hAnsi="Bookman Old Style"/>
          <w:snapToGrid/>
          <w:szCs w:val="24"/>
        </w:rPr>
        <w:t xml:space="preserve">would go anywhere. The claimant returned from her </w:t>
      </w:r>
      <w:r w:rsidR="00A7429A">
        <w:rPr>
          <w:rFonts w:ascii="Bookman Old Style" w:hAnsi="Bookman Old Style"/>
          <w:snapToGrid/>
          <w:szCs w:val="24"/>
        </w:rPr>
        <w:t xml:space="preserve">maternity </w:t>
      </w:r>
      <w:r>
        <w:rPr>
          <w:rFonts w:ascii="Bookman Old Style" w:hAnsi="Bookman Old Style"/>
          <w:snapToGrid/>
          <w:szCs w:val="24"/>
        </w:rPr>
        <w:t xml:space="preserve">leave early on May </w:t>
      </w:r>
      <w:r w:rsidR="0005318A">
        <w:rPr>
          <w:rFonts w:ascii="Bookman Old Style" w:hAnsi="Bookman Old Style"/>
          <w:snapToGrid/>
          <w:szCs w:val="24"/>
        </w:rPr>
        <w:t xml:space="preserve">28, </w:t>
      </w:r>
      <w:proofErr w:type="gramStart"/>
      <w:r w:rsidR="0005318A">
        <w:rPr>
          <w:rFonts w:ascii="Bookman Old Style" w:hAnsi="Bookman Old Style"/>
          <w:snapToGrid/>
          <w:szCs w:val="24"/>
        </w:rPr>
        <w:t>2021</w:t>
      </w:r>
      <w:proofErr w:type="gramEnd"/>
      <w:r w:rsidR="0005318A">
        <w:rPr>
          <w:rFonts w:ascii="Bookman Old Style" w:hAnsi="Bookman Old Style"/>
          <w:snapToGrid/>
          <w:szCs w:val="24"/>
        </w:rPr>
        <w:t xml:space="preserve"> and gave the employer two </w:t>
      </w:r>
      <w:proofErr w:type="spellStart"/>
      <w:r w:rsidR="0005318A">
        <w:rPr>
          <w:rFonts w:ascii="Bookman Old Style" w:hAnsi="Bookman Old Style"/>
          <w:snapToGrid/>
          <w:szCs w:val="24"/>
        </w:rPr>
        <w:t>weeks notice</w:t>
      </w:r>
      <w:proofErr w:type="spellEnd"/>
      <w:r w:rsidR="0005318A">
        <w:rPr>
          <w:rFonts w:ascii="Bookman Old Style" w:hAnsi="Bookman Old Style"/>
          <w:snapToGrid/>
          <w:szCs w:val="24"/>
        </w:rPr>
        <w:t xml:space="preserve">. </w:t>
      </w:r>
      <w:r w:rsidR="00A7429A">
        <w:rPr>
          <w:rFonts w:ascii="Bookman Old Style" w:hAnsi="Bookman Old Style"/>
          <w:snapToGrid/>
          <w:szCs w:val="24"/>
        </w:rPr>
        <w:t xml:space="preserve">She knew the </w:t>
      </w:r>
      <w:r w:rsidR="003963EA">
        <w:rPr>
          <w:rFonts w:ascii="Bookman Old Style" w:hAnsi="Bookman Old Style"/>
          <w:snapToGrid/>
          <w:szCs w:val="24"/>
        </w:rPr>
        <w:t>office was</w:t>
      </w:r>
      <w:r w:rsidR="00A7429A">
        <w:rPr>
          <w:rFonts w:ascii="Bookman Old Style" w:hAnsi="Bookman Old Style"/>
          <w:snapToGrid/>
          <w:szCs w:val="24"/>
        </w:rPr>
        <w:t xml:space="preserve"> behind </w:t>
      </w:r>
      <w:r w:rsidR="003963EA">
        <w:rPr>
          <w:rFonts w:ascii="Bookman Old Style" w:hAnsi="Bookman Old Style"/>
          <w:snapToGrid/>
          <w:szCs w:val="24"/>
        </w:rPr>
        <w:t xml:space="preserve">on work </w:t>
      </w:r>
      <w:r w:rsidR="00A7429A">
        <w:rPr>
          <w:rFonts w:ascii="Bookman Old Style" w:hAnsi="Bookman Old Style"/>
          <w:snapToGrid/>
          <w:szCs w:val="24"/>
        </w:rPr>
        <w:t xml:space="preserve">and she wanted to leave on good terms. </w:t>
      </w:r>
      <w:r w:rsidR="0005318A">
        <w:rPr>
          <w:rFonts w:ascii="Bookman Old Style" w:hAnsi="Bookman Old Style"/>
          <w:snapToGrid/>
          <w:szCs w:val="24"/>
        </w:rPr>
        <w:t xml:space="preserve">The claimant’s supervisor told the claimant she would have to return to the office to work out her notice period. The claimant contacted her union representative who contacted the </w:t>
      </w:r>
      <w:proofErr w:type="gramStart"/>
      <w:r w:rsidR="0005318A">
        <w:rPr>
          <w:rFonts w:ascii="Bookman Old Style" w:hAnsi="Bookman Old Style"/>
          <w:snapToGrid/>
          <w:szCs w:val="24"/>
        </w:rPr>
        <w:t>employer</w:t>
      </w:r>
      <w:proofErr w:type="gramEnd"/>
      <w:r w:rsidR="0005318A">
        <w:rPr>
          <w:rFonts w:ascii="Bookman Old Style" w:hAnsi="Bookman Old Style"/>
          <w:snapToGrid/>
          <w:szCs w:val="24"/>
        </w:rPr>
        <w:t xml:space="preserve"> and the claimant was permitted to telework for the final two weeks.  </w:t>
      </w:r>
    </w:p>
    <w:p w14:paraId="76091037"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54BFF468" w14:textId="77777777" w:rsidR="005A281D" w:rsidRPr="00D82DF6" w:rsidRDefault="005A281D" w:rsidP="00D82DF6">
      <w:pPr>
        <w:tabs>
          <w:tab w:val="left" w:pos="-1440"/>
          <w:tab w:val="left" w:pos="-720"/>
        </w:tabs>
        <w:rPr>
          <w:rFonts w:ascii="Bookman Old Style" w:hAnsi="Bookman Old Style"/>
          <w:szCs w:val="24"/>
        </w:rPr>
      </w:pPr>
    </w:p>
    <w:p w14:paraId="63101F4F"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7C8DF841"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775FB569" w14:textId="255EE60B" w:rsidR="003E7E91" w:rsidRPr="00D82DF6" w:rsidRDefault="003E7E91" w:rsidP="00A7429A">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r w:rsidR="00A7429A">
        <w:rPr>
          <w:rFonts w:ascii="Bookman Old Style" w:hAnsi="Bookman Old Style"/>
          <w:szCs w:val="24"/>
        </w:rPr>
        <w:t>…</w:t>
      </w:r>
    </w:p>
    <w:p w14:paraId="2DBF6A04"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2352F272" w14:textId="77777777" w:rsidR="003E7E91" w:rsidRPr="00D82DF6" w:rsidRDefault="003E7E91" w:rsidP="00D82DF6">
      <w:pPr>
        <w:tabs>
          <w:tab w:val="left" w:pos="-1440"/>
          <w:tab w:val="left" w:pos="-720"/>
        </w:tabs>
        <w:rPr>
          <w:rFonts w:ascii="Bookman Old Style" w:hAnsi="Bookman Old Style"/>
          <w:szCs w:val="24"/>
        </w:rPr>
      </w:pPr>
    </w:p>
    <w:p w14:paraId="402BD4D5"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6C90CBEA"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09EBB65D"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021DF0BD" w14:textId="44ABED04" w:rsidR="003E7E91" w:rsidRPr="00D82DF6" w:rsidRDefault="003E7E91" w:rsidP="00A7429A">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51A93A7B"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643566E3"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6FB8FA03"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265C4658"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w:t>
      </w:r>
      <w:r w:rsidRPr="00D82DF6">
        <w:rPr>
          <w:rFonts w:ascii="Bookman Old Style" w:hAnsi="Bookman Old Style"/>
          <w:snapToGrid/>
          <w:szCs w:val="24"/>
        </w:rPr>
        <w:lastRenderedPageBreak/>
        <w:t xml:space="preserve">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3D035E2F"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4540FE1A"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6960FACB"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4882254C"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 xml:space="preserve">leaving work in order to protect the claimant or the               claimant’s immediate family members from harassment or    </w:t>
      </w:r>
      <w:proofErr w:type="gramStart"/>
      <w:r w:rsidR="003E7E91" w:rsidRPr="00D82DF6">
        <w:rPr>
          <w:rFonts w:ascii="Bookman Old Style" w:hAnsi="Bookman Old Style"/>
          <w:snapToGrid/>
          <w:szCs w:val="24"/>
        </w:rPr>
        <w:t>violence;</w:t>
      </w:r>
      <w:proofErr w:type="gramEnd"/>
    </w:p>
    <w:p w14:paraId="43DDAF7F"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2AA281A4"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375436A3"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34C0DEB0"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662BC6C0" w14:textId="77777777" w:rsidR="003E7E91" w:rsidRPr="00D82DF6" w:rsidRDefault="003E7E91" w:rsidP="00D82DF6">
      <w:pPr>
        <w:widowControl/>
        <w:autoSpaceDE w:val="0"/>
        <w:autoSpaceDN w:val="0"/>
        <w:adjustRightInd w:val="0"/>
        <w:rPr>
          <w:rFonts w:ascii="Bookman Old Style" w:hAnsi="Bookman Old Style"/>
          <w:snapToGrid/>
          <w:szCs w:val="24"/>
        </w:rPr>
      </w:pPr>
    </w:p>
    <w:p w14:paraId="38749229"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6B1803A3"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13506EC4" w14:textId="77777777" w:rsidR="0080245E" w:rsidRPr="00D82DF6" w:rsidRDefault="0080245E" w:rsidP="00D82DF6">
      <w:pPr>
        <w:rPr>
          <w:rFonts w:ascii="Bookman Old Style" w:hAnsi="Bookman Old Style"/>
          <w:szCs w:val="24"/>
        </w:rPr>
      </w:pPr>
    </w:p>
    <w:p w14:paraId="0FB61412"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572CB939" w14:textId="584F0DCD" w:rsidR="00441439" w:rsidRDefault="00441439" w:rsidP="00D82DF6">
      <w:pPr>
        <w:rPr>
          <w:rFonts w:ascii="Bookman Old Style" w:hAnsi="Bookman Old Style"/>
          <w:szCs w:val="24"/>
        </w:rPr>
      </w:pPr>
    </w:p>
    <w:p w14:paraId="6BD14B02" w14:textId="0AE58BE5" w:rsidR="00A7429A" w:rsidRDefault="00A7429A" w:rsidP="00D82DF6">
      <w:pPr>
        <w:rPr>
          <w:rFonts w:ascii="Bookman Old Style" w:hAnsi="Bookman Old Style"/>
          <w:szCs w:val="24"/>
        </w:rPr>
      </w:pPr>
      <w:r>
        <w:rPr>
          <w:rFonts w:ascii="Bookman Old Style" w:hAnsi="Bookman Old Style"/>
          <w:szCs w:val="24"/>
        </w:rPr>
        <w:t xml:space="preserve">The claimant in this case decided to voluntarily quit work because </w:t>
      </w:r>
      <w:r w:rsidR="004C7291">
        <w:rPr>
          <w:rFonts w:ascii="Bookman Old Style" w:hAnsi="Bookman Old Style"/>
          <w:szCs w:val="24"/>
        </w:rPr>
        <w:t xml:space="preserve">she felt harassed and bullied by </w:t>
      </w:r>
      <w:proofErr w:type="gramStart"/>
      <w:r w:rsidR="004C7291">
        <w:rPr>
          <w:rFonts w:ascii="Bookman Old Style" w:hAnsi="Bookman Old Style"/>
          <w:szCs w:val="24"/>
        </w:rPr>
        <w:t>supervisor’s</w:t>
      </w:r>
      <w:proofErr w:type="gramEnd"/>
      <w:r w:rsidR="004C7291">
        <w:rPr>
          <w:rFonts w:ascii="Bookman Old Style" w:hAnsi="Bookman Old Style"/>
          <w:szCs w:val="24"/>
        </w:rPr>
        <w:t xml:space="preserve"> at work. </w:t>
      </w:r>
    </w:p>
    <w:p w14:paraId="09591747" w14:textId="77777777" w:rsidR="00A7429A" w:rsidRDefault="00A7429A" w:rsidP="00D82DF6">
      <w:pPr>
        <w:rPr>
          <w:rFonts w:ascii="Bookman Old Style" w:hAnsi="Bookman Old Style"/>
          <w:szCs w:val="24"/>
        </w:rPr>
      </w:pPr>
    </w:p>
    <w:p w14:paraId="640CEC46" w14:textId="77777777" w:rsidR="003963EA" w:rsidRDefault="00A7429A" w:rsidP="004C7291">
      <w:pPr>
        <w:ind w:left="630"/>
        <w:rPr>
          <w:rFonts w:ascii="Bookman Old Style" w:hAnsi="Bookman Old Style"/>
          <w:i/>
          <w:szCs w:val="24"/>
        </w:rPr>
      </w:pPr>
      <w:r w:rsidRPr="00A7429A">
        <w:rPr>
          <w:rFonts w:ascii="Bookman Old Style" w:hAnsi="Bookman Old Style"/>
          <w:i/>
          <w:szCs w:val="24"/>
        </w:rPr>
        <w:t xml:space="preserve">It is a long standing holding of the Department that even if a claimant establishes good cause for leaving work, it must still be determined that the worker pursued reasonable alternatives </w:t>
      </w:r>
      <w:proofErr w:type="gramStart"/>
      <w:r w:rsidRPr="00A7429A">
        <w:rPr>
          <w:rFonts w:ascii="Bookman Old Style" w:hAnsi="Bookman Old Style"/>
          <w:i/>
          <w:szCs w:val="24"/>
        </w:rPr>
        <w:t>in an effort to</w:t>
      </w:r>
      <w:proofErr w:type="gramEnd"/>
      <w:r w:rsidRPr="00A7429A">
        <w:rPr>
          <w:rFonts w:ascii="Bookman Old Style" w:hAnsi="Bookman Old Style"/>
          <w:i/>
          <w:szCs w:val="24"/>
        </w:rPr>
        <w:t xml:space="preserve"> preserve the employment relationship. </w:t>
      </w:r>
      <w:r w:rsidRPr="00A7429A">
        <w:rPr>
          <w:rFonts w:ascii="Bookman Old Style" w:hAnsi="Bookman Old Style"/>
          <w:i/>
          <w:szCs w:val="24"/>
          <w:u w:val="single"/>
        </w:rPr>
        <w:t>Walsh</w:t>
      </w:r>
      <w:r w:rsidRPr="00A7429A">
        <w:rPr>
          <w:rFonts w:ascii="Bookman Old Style" w:hAnsi="Bookman Old Style"/>
          <w:i/>
          <w:szCs w:val="24"/>
        </w:rPr>
        <w:t xml:space="preserve">, Com. Decision 88H-UI-011, March 15, 1988. That is not to say the claimant must pursue all alternatives, but when an employer has a grievance policy in place and communicates that to the employees, a </w:t>
      </w:r>
      <w:r w:rsidRPr="00A7429A">
        <w:rPr>
          <w:rFonts w:ascii="Bookman Old Style" w:hAnsi="Bookman Old Style"/>
          <w:i/>
          <w:szCs w:val="24"/>
          <w:u w:val="single"/>
        </w:rPr>
        <w:t>reasonable</w:t>
      </w:r>
      <w:r w:rsidRPr="00A7429A">
        <w:rPr>
          <w:rFonts w:ascii="Bookman Old Style" w:hAnsi="Bookman Old Style"/>
          <w:i/>
          <w:szCs w:val="24"/>
        </w:rPr>
        <w:t xml:space="preserve"> alternative to quitting would be to pursue </w:t>
      </w:r>
    </w:p>
    <w:p w14:paraId="168F47B9" w14:textId="77777777" w:rsidR="003963EA" w:rsidRDefault="003963EA" w:rsidP="004C7291">
      <w:pPr>
        <w:ind w:left="630"/>
        <w:rPr>
          <w:rFonts w:ascii="Bookman Old Style" w:hAnsi="Bookman Old Style"/>
          <w:i/>
          <w:szCs w:val="24"/>
        </w:rPr>
      </w:pPr>
    </w:p>
    <w:p w14:paraId="3CDC69E8" w14:textId="5ED117EA" w:rsidR="00A7429A" w:rsidRPr="00A7429A" w:rsidRDefault="00A7429A" w:rsidP="004C7291">
      <w:pPr>
        <w:ind w:left="630"/>
        <w:rPr>
          <w:rFonts w:ascii="Bookman Old Style" w:hAnsi="Bookman Old Style"/>
          <w:i/>
          <w:szCs w:val="24"/>
        </w:rPr>
      </w:pPr>
      <w:r w:rsidRPr="00A7429A">
        <w:rPr>
          <w:rFonts w:ascii="Bookman Old Style" w:hAnsi="Bookman Old Style"/>
          <w:i/>
          <w:szCs w:val="24"/>
        </w:rPr>
        <w:t xml:space="preserve">such a grievance. </w:t>
      </w:r>
      <w:proofErr w:type="spellStart"/>
      <w:r w:rsidRPr="00A7429A">
        <w:rPr>
          <w:rFonts w:ascii="Bookman Old Style" w:hAnsi="Bookman Old Style"/>
          <w:i/>
          <w:szCs w:val="24"/>
          <w:u w:val="single"/>
        </w:rPr>
        <w:t>Stiehm</w:t>
      </w:r>
      <w:proofErr w:type="spellEnd"/>
      <w:r w:rsidRPr="00A7429A">
        <w:rPr>
          <w:rFonts w:ascii="Bookman Old Style" w:hAnsi="Bookman Old Style"/>
          <w:i/>
          <w:szCs w:val="24"/>
        </w:rPr>
        <w:t xml:space="preserve">, Com. Dec. 9427588, July 29, 1994, affirmed in </w:t>
      </w:r>
      <w:r w:rsidRPr="00A7429A">
        <w:rPr>
          <w:rFonts w:ascii="Bookman Old Style" w:hAnsi="Bookman Old Style"/>
          <w:i/>
          <w:szCs w:val="24"/>
          <w:u w:val="single"/>
        </w:rPr>
        <w:t>Kalen-Brown</w:t>
      </w:r>
      <w:r w:rsidRPr="00A7429A">
        <w:rPr>
          <w:rFonts w:ascii="Bookman Old Style" w:hAnsi="Bookman Old Style"/>
          <w:i/>
          <w:szCs w:val="24"/>
        </w:rPr>
        <w:t>, Com. Dec. 04</w:t>
      </w:r>
      <w:proofErr w:type="gramStart"/>
      <w:r w:rsidRPr="00A7429A">
        <w:rPr>
          <w:rFonts w:ascii="Bookman Old Style" w:hAnsi="Bookman Old Style"/>
          <w:i/>
          <w:szCs w:val="24"/>
        </w:rPr>
        <w:t xml:space="preserve"> 1952</w:t>
      </w:r>
      <w:proofErr w:type="gramEnd"/>
      <w:r w:rsidRPr="00A7429A">
        <w:rPr>
          <w:rFonts w:ascii="Bookman Old Style" w:hAnsi="Bookman Old Style"/>
          <w:i/>
          <w:szCs w:val="24"/>
        </w:rPr>
        <w:t>, December 13, 2004.</w:t>
      </w:r>
      <w:r w:rsidRPr="00A7429A">
        <w:rPr>
          <w:rFonts w:ascii="Bookman Old Style" w:hAnsi="Bookman Old Style"/>
          <w:i/>
          <w:szCs w:val="24"/>
        </w:rPr>
        <w:tab/>
      </w:r>
    </w:p>
    <w:p w14:paraId="6ED7B388" w14:textId="77777777" w:rsidR="00A7429A" w:rsidRPr="00A7429A" w:rsidRDefault="00A7429A" w:rsidP="004C7291">
      <w:pPr>
        <w:widowControl/>
        <w:suppressAutoHyphens/>
        <w:ind w:left="630"/>
        <w:rPr>
          <w:rFonts w:ascii="Bookman Old Style" w:hAnsi="Bookman Old Style"/>
          <w:i/>
          <w:szCs w:val="24"/>
        </w:rPr>
      </w:pPr>
    </w:p>
    <w:p w14:paraId="640F68D5" w14:textId="7D76F983" w:rsidR="00A7429A" w:rsidRPr="00DF536C" w:rsidRDefault="00A7429A" w:rsidP="004C7291">
      <w:pPr>
        <w:tabs>
          <w:tab w:val="left" w:pos="720"/>
          <w:tab w:val="left" w:pos="1440"/>
          <w:tab w:val="left" w:pos="2160"/>
          <w:tab w:val="left" w:pos="5587"/>
        </w:tabs>
        <w:suppressAutoHyphens/>
        <w:ind w:left="630"/>
        <w:rPr>
          <w:rFonts w:ascii="Bookman Old Style" w:hAnsi="Bookman Old Style"/>
          <w:i/>
        </w:rPr>
      </w:pPr>
      <w:r w:rsidRPr="00A7429A">
        <w:rPr>
          <w:rFonts w:ascii="Bookman Old Style" w:hAnsi="Bookman Old Style"/>
          <w:i/>
        </w:rPr>
        <w:t xml:space="preserve">We have ruled in cases </w:t>
      </w:r>
      <w:proofErr w:type="gramStart"/>
      <w:r w:rsidRPr="00A7429A">
        <w:rPr>
          <w:rFonts w:ascii="Bookman Old Style" w:hAnsi="Bookman Old Style"/>
          <w:i/>
        </w:rPr>
        <w:t>similar to</w:t>
      </w:r>
      <w:proofErr w:type="gramEnd"/>
      <w:r w:rsidRPr="00A7429A">
        <w:rPr>
          <w:rFonts w:ascii="Bookman Old Style" w:hAnsi="Bookman Old Style"/>
          <w:i/>
        </w:rPr>
        <w:t xml:space="preserve"> this that even where a worker has an adequate reason for leaving work, the worker must attempt to remedy the situation before leaving in order to escape disqualification under AS 23.20.379. The worker must give the employer a chance to remedy his grievance. </w:t>
      </w:r>
      <w:r w:rsidRPr="00A7429A">
        <w:rPr>
          <w:rFonts w:ascii="Bookman Old Style" w:hAnsi="Bookman Old Style"/>
          <w:i/>
          <w:u w:val="single"/>
        </w:rPr>
        <w:t>Larson</w:t>
      </w:r>
      <w:r w:rsidRPr="00A7429A">
        <w:rPr>
          <w:rFonts w:ascii="Bookman Old Style" w:hAnsi="Bookman Old Style"/>
          <w:i/>
        </w:rPr>
        <w:t xml:space="preserve">, Com. Dec. 9121530, Nov. 8, 1991, affirmed, </w:t>
      </w:r>
      <w:r w:rsidRPr="00A7429A">
        <w:rPr>
          <w:rFonts w:ascii="Bookman Old Style" w:hAnsi="Bookman Old Style"/>
          <w:i/>
          <w:u w:val="single"/>
        </w:rPr>
        <w:t>Larson v. Employment Security Division</w:t>
      </w:r>
      <w:r w:rsidRPr="00A7429A">
        <w:rPr>
          <w:rFonts w:ascii="Bookman Old Style" w:hAnsi="Bookman Old Style"/>
          <w:i/>
        </w:rPr>
        <w:t>, Superior Court 3JD No. 3 KN-91-1065 civil, March 4, 1993.</w:t>
      </w:r>
      <w:r w:rsidRPr="00DF536C">
        <w:rPr>
          <w:rFonts w:ascii="Bookman Old Style" w:hAnsi="Bookman Old Style"/>
          <w:i/>
        </w:rPr>
        <w:fldChar w:fldCharType="begin"/>
      </w:r>
      <w:r w:rsidRPr="00DF536C">
        <w:rPr>
          <w:rFonts w:ascii="Bookman Old Style" w:hAnsi="Bookman Old Style"/>
          <w:i/>
        </w:rPr>
        <w:instrText xml:space="preserve">PRIVATE </w:instrText>
      </w:r>
      <w:r w:rsidRPr="00DF536C">
        <w:rPr>
          <w:rFonts w:ascii="Bookman Old Style" w:hAnsi="Bookman Old Style"/>
          <w:i/>
        </w:rPr>
        <w:fldChar w:fldCharType="end"/>
      </w:r>
    </w:p>
    <w:p w14:paraId="13BC60DB" w14:textId="48A8B5FE" w:rsidR="00A7429A" w:rsidRDefault="00A7429A" w:rsidP="00D82DF6">
      <w:pPr>
        <w:rPr>
          <w:rFonts w:ascii="Bookman Old Style" w:hAnsi="Bookman Old Style"/>
          <w:szCs w:val="24"/>
        </w:rPr>
      </w:pPr>
    </w:p>
    <w:p w14:paraId="0B0EB495" w14:textId="516C0EEA" w:rsidR="004C7291" w:rsidRDefault="004C7291" w:rsidP="00D82DF6">
      <w:pPr>
        <w:rPr>
          <w:rFonts w:ascii="Bookman Old Style" w:hAnsi="Bookman Old Style"/>
          <w:szCs w:val="24"/>
        </w:rPr>
      </w:pPr>
      <w:r>
        <w:rPr>
          <w:rFonts w:ascii="Bookman Old Style" w:hAnsi="Bookman Old Style"/>
          <w:szCs w:val="24"/>
        </w:rPr>
        <w:t xml:space="preserve">The claimant </w:t>
      </w:r>
      <w:r w:rsidR="008E26BE">
        <w:rPr>
          <w:rFonts w:ascii="Bookman Old Style" w:hAnsi="Bookman Old Style"/>
          <w:szCs w:val="24"/>
        </w:rPr>
        <w:t>resigned</w:t>
      </w:r>
      <w:r>
        <w:rPr>
          <w:rFonts w:ascii="Bookman Old Style" w:hAnsi="Bookman Old Style"/>
          <w:szCs w:val="24"/>
        </w:rPr>
        <w:t xml:space="preserve"> because she was told that supervisors were talking about getting her fired. The claimant did not bring the concerns to the employer. That the office manager was leaving does not mean this was not a reasonable alternative</w:t>
      </w:r>
      <w:r w:rsidR="003963EA">
        <w:rPr>
          <w:rFonts w:ascii="Bookman Old Style" w:hAnsi="Bookman Old Style"/>
          <w:szCs w:val="24"/>
        </w:rPr>
        <w:t>, as the agency has multiple level of management and human resources staff</w:t>
      </w:r>
      <w:r>
        <w:rPr>
          <w:rFonts w:ascii="Bookman Old Style" w:hAnsi="Bookman Old Style"/>
          <w:szCs w:val="24"/>
        </w:rPr>
        <w:t>.   The claimant was advised by her union representative to file a grievance, but she decided not to because she did not think it would go anywhere. However</w:t>
      </w:r>
      <w:r w:rsidR="003963EA">
        <w:rPr>
          <w:rFonts w:ascii="Bookman Old Style" w:hAnsi="Bookman Old Style"/>
          <w:szCs w:val="24"/>
        </w:rPr>
        <w:t>,</w:t>
      </w:r>
      <w:r>
        <w:rPr>
          <w:rFonts w:ascii="Bookman Old Style" w:hAnsi="Bookman Old Style"/>
          <w:szCs w:val="24"/>
        </w:rPr>
        <w:t xml:space="preserve"> the claimant’s union intervention had previously resulted in a write-up being removed from her file and</w:t>
      </w:r>
      <w:r w:rsidR="003963EA">
        <w:rPr>
          <w:rFonts w:ascii="Bookman Old Style" w:hAnsi="Bookman Old Style"/>
          <w:szCs w:val="24"/>
        </w:rPr>
        <w:t xml:space="preserve"> her being</w:t>
      </w:r>
      <w:r>
        <w:rPr>
          <w:rFonts w:ascii="Bookman Old Style" w:hAnsi="Bookman Old Style"/>
          <w:szCs w:val="24"/>
        </w:rPr>
        <w:t xml:space="preserve"> allowed her to work from home her last two weeks.  The claimant’s belief that the grievance process would not work does not mean it was not a reasonable alternative to quitting.  </w:t>
      </w:r>
    </w:p>
    <w:p w14:paraId="7EDB508A" w14:textId="77777777" w:rsidR="004C7291" w:rsidRDefault="004C7291" w:rsidP="00D82DF6">
      <w:pPr>
        <w:rPr>
          <w:rFonts w:ascii="Bookman Old Style" w:hAnsi="Bookman Old Style"/>
          <w:szCs w:val="24"/>
        </w:rPr>
      </w:pPr>
    </w:p>
    <w:p w14:paraId="18D2D314" w14:textId="32C7F5FF" w:rsidR="004C7291" w:rsidRPr="00D82DF6" w:rsidRDefault="004C7291" w:rsidP="00D82DF6">
      <w:pPr>
        <w:rPr>
          <w:rFonts w:ascii="Bookman Old Style" w:hAnsi="Bookman Old Style"/>
          <w:szCs w:val="24"/>
        </w:rPr>
      </w:pPr>
      <w:r>
        <w:rPr>
          <w:rFonts w:ascii="Bookman Old Style" w:hAnsi="Bookman Old Style"/>
          <w:szCs w:val="24"/>
        </w:rPr>
        <w:t xml:space="preserve">In applying the </w:t>
      </w:r>
      <w:r w:rsidR="00997C06">
        <w:rPr>
          <w:rFonts w:ascii="Bookman Old Style" w:hAnsi="Bookman Old Style"/>
          <w:szCs w:val="24"/>
        </w:rPr>
        <w:t xml:space="preserve">above cited decisions of the Commissioner and Courts to the claimant’s circumstances, the Tribunal finds the claimant failed to pursue reasonable alternatives to </w:t>
      </w:r>
      <w:r w:rsidR="0065734E">
        <w:rPr>
          <w:rFonts w:ascii="Bookman Old Style" w:hAnsi="Bookman Old Style"/>
          <w:szCs w:val="24"/>
        </w:rPr>
        <w:t xml:space="preserve">quitting and </w:t>
      </w:r>
      <w:r w:rsidR="008E26BE">
        <w:rPr>
          <w:rFonts w:ascii="Bookman Old Style" w:hAnsi="Bookman Old Style"/>
          <w:szCs w:val="24"/>
        </w:rPr>
        <w:t xml:space="preserve">therefore </w:t>
      </w:r>
      <w:r w:rsidR="0065734E">
        <w:rPr>
          <w:rFonts w:ascii="Bookman Old Style" w:hAnsi="Bookman Old Style"/>
          <w:szCs w:val="24"/>
        </w:rPr>
        <w:t xml:space="preserve">did not establish good cause for </w:t>
      </w:r>
      <w:r w:rsidR="003963EA">
        <w:rPr>
          <w:rFonts w:ascii="Bookman Old Style" w:hAnsi="Bookman Old Style"/>
          <w:szCs w:val="24"/>
        </w:rPr>
        <w:t>voluntarily leaving work. The penalties of AS 23.20.379 are appropriate.</w:t>
      </w:r>
    </w:p>
    <w:p w14:paraId="203CF5D2" w14:textId="77777777" w:rsidR="00441439" w:rsidRPr="00D82DF6" w:rsidRDefault="00441439" w:rsidP="00D82DF6">
      <w:pPr>
        <w:tabs>
          <w:tab w:val="left" w:pos="-1440"/>
          <w:tab w:val="left" w:pos="-720"/>
        </w:tabs>
        <w:rPr>
          <w:rFonts w:ascii="Bookman Old Style" w:hAnsi="Bookman Old Style"/>
          <w:szCs w:val="24"/>
        </w:rPr>
      </w:pPr>
    </w:p>
    <w:p w14:paraId="5DAF46D7"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16DB41FE" w14:textId="7960C773" w:rsidR="00D82DF6" w:rsidRPr="00D82DF6" w:rsidRDefault="00D82DF6" w:rsidP="00D82DF6">
      <w:pPr>
        <w:tabs>
          <w:tab w:val="left" w:pos="-1440"/>
          <w:tab w:val="left" w:pos="-720"/>
        </w:tabs>
        <w:suppressAutoHyphens/>
        <w:ind w:right="-360"/>
        <w:rPr>
          <w:rFonts w:ascii="Bookman Old Style" w:hAnsi="Bookman Old Style"/>
          <w:szCs w:val="24"/>
        </w:rPr>
      </w:pPr>
    </w:p>
    <w:p w14:paraId="747F7B1F" w14:textId="0E53B7D9"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3963EA">
        <w:rPr>
          <w:rFonts w:ascii="Bookman Old Style" w:hAnsi="Bookman Old Style"/>
          <w:szCs w:val="24"/>
        </w:rPr>
        <w:t xml:space="preserve">August 17, </w:t>
      </w:r>
      <w:proofErr w:type="gramStart"/>
      <w:r w:rsidR="003963EA">
        <w:rPr>
          <w:rFonts w:ascii="Bookman Old Style" w:hAnsi="Bookman Old Style"/>
          <w:szCs w:val="24"/>
        </w:rPr>
        <w:t>2021</w:t>
      </w:r>
      <w:proofErr w:type="gramEnd"/>
      <w:r w:rsidRPr="00D82DF6">
        <w:rPr>
          <w:rFonts w:ascii="Bookman Old Style" w:hAnsi="Bookman Old Style"/>
          <w:szCs w:val="24"/>
        </w:rPr>
        <w:t xml:space="preserve"> is </w:t>
      </w:r>
      <w:r w:rsidR="003963EA">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3963EA">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3963EA">
        <w:rPr>
          <w:rFonts w:ascii="Bookman Old Style" w:hAnsi="Bookman Old Style"/>
          <w:szCs w:val="24"/>
        </w:rPr>
        <w:t xml:space="preserve">June 19, </w:t>
      </w:r>
      <w:proofErr w:type="gramStart"/>
      <w:r w:rsidR="003963EA">
        <w:rPr>
          <w:rFonts w:ascii="Bookman Old Style" w:hAnsi="Bookman Old Style"/>
          <w:szCs w:val="24"/>
        </w:rPr>
        <w:t>2021</w:t>
      </w:r>
      <w:proofErr w:type="gramEnd"/>
      <w:r w:rsidR="003963EA">
        <w:rPr>
          <w:rFonts w:ascii="Bookman Old Style" w:hAnsi="Bookman Old Style"/>
          <w:szCs w:val="24"/>
        </w:rPr>
        <w:t xml:space="preserve"> through July 24, 2021</w:t>
      </w:r>
      <w:r w:rsidRPr="00D82DF6">
        <w:rPr>
          <w:rFonts w:ascii="Bookman Old Style" w:hAnsi="Bookman Old Style"/>
          <w:szCs w:val="24"/>
        </w:rPr>
        <w:t xml:space="preserve">. The three weeks </w:t>
      </w:r>
      <w:r w:rsidR="003963EA">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14:paraId="59A349E6" w14:textId="77777777" w:rsidR="00441439" w:rsidRPr="00D82DF6" w:rsidRDefault="00441439" w:rsidP="00D82DF6">
      <w:pPr>
        <w:tabs>
          <w:tab w:val="left" w:pos="-1440"/>
          <w:tab w:val="left" w:pos="-720"/>
        </w:tabs>
        <w:rPr>
          <w:rFonts w:ascii="Bookman Old Style" w:hAnsi="Bookman Old Style"/>
          <w:szCs w:val="24"/>
        </w:rPr>
      </w:pPr>
    </w:p>
    <w:p w14:paraId="6856DD49"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67742677" w14:textId="77777777" w:rsidR="00441439" w:rsidRPr="00D82DF6" w:rsidRDefault="00441439" w:rsidP="00D82DF6">
      <w:pPr>
        <w:tabs>
          <w:tab w:val="left" w:pos="-1440"/>
          <w:tab w:val="left" w:pos="-720"/>
        </w:tabs>
        <w:rPr>
          <w:rFonts w:ascii="Bookman Old Style" w:hAnsi="Bookman Old Style"/>
          <w:szCs w:val="24"/>
        </w:rPr>
      </w:pPr>
    </w:p>
    <w:p w14:paraId="6DF4811D"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80A263A" w14:textId="77777777" w:rsidR="00441439" w:rsidRPr="00D82DF6" w:rsidRDefault="00441439" w:rsidP="00D82DF6">
      <w:pPr>
        <w:tabs>
          <w:tab w:val="left" w:pos="-1440"/>
          <w:tab w:val="left" w:pos="-720"/>
        </w:tabs>
        <w:rPr>
          <w:rFonts w:ascii="Bookman Old Style" w:hAnsi="Bookman Old Style"/>
          <w:szCs w:val="24"/>
        </w:rPr>
      </w:pPr>
    </w:p>
    <w:p w14:paraId="1869601B" w14:textId="0DF23019"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3963EA">
        <w:rPr>
          <w:rFonts w:ascii="Bookman Old Style" w:hAnsi="Bookman Old Style"/>
          <w:szCs w:val="24"/>
        </w:rPr>
        <w:t>February 25, 2022</w:t>
      </w:r>
      <w:r w:rsidR="00441439" w:rsidRPr="00D82DF6">
        <w:rPr>
          <w:rFonts w:ascii="Bookman Old Style" w:hAnsi="Bookman Old Style"/>
          <w:szCs w:val="24"/>
        </w:rPr>
        <w:t>.</w:t>
      </w:r>
    </w:p>
    <w:p w14:paraId="1D98A7E7" w14:textId="77777777" w:rsidR="00441439" w:rsidRPr="00D82DF6" w:rsidRDefault="00441439" w:rsidP="00D82DF6">
      <w:pPr>
        <w:tabs>
          <w:tab w:val="left" w:pos="-1440"/>
          <w:tab w:val="left" w:pos="-720"/>
        </w:tabs>
        <w:rPr>
          <w:rFonts w:ascii="Bookman Old Style" w:hAnsi="Bookman Old Style"/>
          <w:szCs w:val="24"/>
        </w:rPr>
      </w:pPr>
    </w:p>
    <w:p w14:paraId="11E577BC" w14:textId="12642A37" w:rsidR="00441439" w:rsidRDefault="00441439" w:rsidP="00D82DF6">
      <w:pPr>
        <w:tabs>
          <w:tab w:val="left" w:pos="-1440"/>
          <w:tab w:val="left" w:pos="-720"/>
        </w:tabs>
        <w:rPr>
          <w:rFonts w:ascii="Bookman Old Style" w:hAnsi="Bookman Old Style"/>
          <w:szCs w:val="24"/>
        </w:rPr>
      </w:pPr>
    </w:p>
    <w:p w14:paraId="27B43376" w14:textId="77777777" w:rsidR="008E26BE" w:rsidRDefault="008E26BE" w:rsidP="00D82DF6">
      <w:pPr>
        <w:tabs>
          <w:tab w:val="left" w:pos="-1440"/>
          <w:tab w:val="left" w:pos="-720"/>
        </w:tabs>
        <w:rPr>
          <w:rFonts w:ascii="Bookman Old Style" w:hAnsi="Bookman Old Style"/>
          <w:szCs w:val="24"/>
        </w:rPr>
      </w:pPr>
    </w:p>
    <w:p w14:paraId="1DEF4C3D" w14:textId="77777777" w:rsidR="008E26BE" w:rsidRPr="00D82DF6" w:rsidRDefault="008E26BE" w:rsidP="00D82DF6">
      <w:pPr>
        <w:tabs>
          <w:tab w:val="left" w:pos="-1440"/>
          <w:tab w:val="left" w:pos="-720"/>
        </w:tabs>
        <w:rPr>
          <w:rFonts w:ascii="Bookman Old Style" w:hAnsi="Bookman Old Style"/>
          <w:szCs w:val="24"/>
        </w:rPr>
      </w:pPr>
    </w:p>
    <w:p w14:paraId="2B2F15D4" w14:textId="5D375BCE"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3963EA">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rsidSect="008E26BE">
      <w:headerReference w:type="default" r:id="rId9"/>
      <w:endnotePr>
        <w:numFmt w:val="decimal"/>
      </w:endnotePr>
      <w:pgSz w:w="12240" w:h="15840"/>
      <w:pgMar w:top="720" w:right="1440" w:bottom="1152"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AF1C" w14:textId="77777777" w:rsidR="00A461E8" w:rsidRDefault="00A461E8">
      <w:pPr>
        <w:widowControl/>
        <w:spacing w:line="20" w:lineRule="exact"/>
      </w:pPr>
    </w:p>
  </w:endnote>
  <w:endnote w:type="continuationSeparator" w:id="0">
    <w:p w14:paraId="54F8D545" w14:textId="77777777" w:rsidR="00A461E8" w:rsidRDefault="00A461E8">
      <w:r>
        <w:t xml:space="preserve"> </w:t>
      </w:r>
    </w:p>
  </w:endnote>
  <w:endnote w:type="continuationNotice" w:id="1">
    <w:p w14:paraId="3F6FB402" w14:textId="77777777" w:rsidR="00A461E8" w:rsidRDefault="00A461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738C" w14:textId="77777777" w:rsidR="00A461E8" w:rsidRDefault="00A461E8">
      <w:r>
        <w:separator/>
      </w:r>
    </w:p>
  </w:footnote>
  <w:footnote w:type="continuationSeparator" w:id="0">
    <w:p w14:paraId="6BD74E24" w14:textId="77777777" w:rsidR="00A461E8" w:rsidRDefault="00A4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0EBC" w14:textId="661DBCDC"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EB29F5">
      <w:rPr>
        <w:rFonts w:ascii="Bookman Old Style" w:hAnsi="Bookman Old Style"/>
      </w:rPr>
      <w:t>21 1690</w:t>
    </w:r>
  </w:p>
  <w:p w14:paraId="76CB280C"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6ACC47F9"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61E8"/>
    <w:rsid w:val="00003DC3"/>
    <w:rsid w:val="00026FBD"/>
    <w:rsid w:val="00027F9D"/>
    <w:rsid w:val="0005318A"/>
    <w:rsid w:val="00086907"/>
    <w:rsid w:val="000D3B41"/>
    <w:rsid w:val="000D73C2"/>
    <w:rsid w:val="000F5712"/>
    <w:rsid w:val="00145E88"/>
    <w:rsid w:val="00193EB9"/>
    <w:rsid w:val="001B73F6"/>
    <w:rsid w:val="002529B9"/>
    <w:rsid w:val="002A3C37"/>
    <w:rsid w:val="002C42D3"/>
    <w:rsid w:val="002D5A94"/>
    <w:rsid w:val="0031012B"/>
    <w:rsid w:val="003115E0"/>
    <w:rsid w:val="00314A77"/>
    <w:rsid w:val="00326C97"/>
    <w:rsid w:val="003311C5"/>
    <w:rsid w:val="00382877"/>
    <w:rsid w:val="003963EA"/>
    <w:rsid w:val="003A5235"/>
    <w:rsid w:val="003B709B"/>
    <w:rsid w:val="003C0ED2"/>
    <w:rsid w:val="003D294E"/>
    <w:rsid w:val="003E7E91"/>
    <w:rsid w:val="00405A16"/>
    <w:rsid w:val="00441439"/>
    <w:rsid w:val="00456806"/>
    <w:rsid w:val="004758FD"/>
    <w:rsid w:val="004B0A1E"/>
    <w:rsid w:val="004C7291"/>
    <w:rsid w:val="005A281D"/>
    <w:rsid w:val="005A4355"/>
    <w:rsid w:val="005A6770"/>
    <w:rsid w:val="005F1D92"/>
    <w:rsid w:val="00643AF0"/>
    <w:rsid w:val="0065734E"/>
    <w:rsid w:val="00661D7B"/>
    <w:rsid w:val="00765551"/>
    <w:rsid w:val="00774034"/>
    <w:rsid w:val="007C0440"/>
    <w:rsid w:val="007C774A"/>
    <w:rsid w:val="0080245E"/>
    <w:rsid w:val="008B1CA2"/>
    <w:rsid w:val="008B45DB"/>
    <w:rsid w:val="008E26BE"/>
    <w:rsid w:val="008F3C72"/>
    <w:rsid w:val="00931AA2"/>
    <w:rsid w:val="00932DE9"/>
    <w:rsid w:val="009639E3"/>
    <w:rsid w:val="00997C06"/>
    <w:rsid w:val="00A461E8"/>
    <w:rsid w:val="00A51932"/>
    <w:rsid w:val="00A66D6A"/>
    <w:rsid w:val="00A7429A"/>
    <w:rsid w:val="00AA0015"/>
    <w:rsid w:val="00AD5C90"/>
    <w:rsid w:val="00B23E70"/>
    <w:rsid w:val="00B24371"/>
    <w:rsid w:val="00B554BF"/>
    <w:rsid w:val="00B85F9D"/>
    <w:rsid w:val="00C3767D"/>
    <w:rsid w:val="00C47467"/>
    <w:rsid w:val="00C734D5"/>
    <w:rsid w:val="00C81FB9"/>
    <w:rsid w:val="00D025D4"/>
    <w:rsid w:val="00D829CE"/>
    <w:rsid w:val="00D82DF6"/>
    <w:rsid w:val="00DD54FF"/>
    <w:rsid w:val="00DF1DE2"/>
    <w:rsid w:val="00E20AA8"/>
    <w:rsid w:val="00EB0E9D"/>
    <w:rsid w:val="00EB2462"/>
    <w:rsid w:val="00EB29F5"/>
    <w:rsid w:val="00EC3E1C"/>
    <w:rsid w:val="00F2294D"/>
    <w:rsid w:val="00F86834"/>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930AC5C"/>
  <w15:chartTrackingRefBased/>
  <w15:docId w15:val="{D8B3301C-2BB4-44A8-934B-D8BA7849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4</Pages>
  <Words>1412</Words>
  <Characters>7217</Characters>
  <Application>Microsoft Office Word</Application>
  <DocSecurity>0</DocSecurity>
  <Lines>189</Lines>
  <Paragraphs>59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2022-02-25T17:50:00Z</dcterms:created>
  <dcterms:modified xsi:type="dcterms:W3CDTF">2022-02-25T17:50:00Z</dcterms:modified>
</cp:coreProperties>
</file>