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4633" w14:textId="77777777" w:rsidR="00F52BEA" w:rsidRDefault="00D6764C"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3E1CB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435BF728" w14:textId="77777777" w:rsidR="00F52BEA" w:rsidRDefault="00F52BEA" w:rsidP="00F52BEA">
      <w:pPr>
        <w:pStyle w:val="Heading3"/>
        <w:widowControl/>
        <w:tabs>
          <w:tab w:val="center" w:pos="4680"/>
        </w:tabs>
        <w:suppressAutoHyphens/>
        <w:rPr>
          <w:rFonts w:ascii="Bookman Old Style" w:hAnsi="Bookman Old Style"/>
        </w:rPr>
      </w:pPr>
    </w:p>
    <w:p w14:paraId="3A259133" w14:textId="77777777" w:rsidR="00F52BEA" w:rsidRDefault="00F52BEA" w:rsidP="00F52BEA">
      <w:pPr>
        <w:pStyle w:val="Heading3"/>
        <w:widowControl/>
        <w:tabs>
          <w:tab w:val="center" w:pos="4680"/>
        </w:tabs>
        <w:suppressAutoHyphens/>
        <w:rPr>
          <w:rFonts w:ascii="Bookman Old Style" w:hAnsi="Bookman Old Style"/>
        </w:rPr>
      </w:pPr>
    </w:p>
    <w:p w14:paraId="4E4018EF" w14:textId="77777777" w:rsidR="00F52BEA" w:rsidRDefault="00F52BEA" w:rsidP="00F52BEA">
      <w:pPr>
        <w:pStyle w:val="Heading3"/>
        <w:widowControl/>
        <w:tabs>
          <w:tab w:val="center" w:pos="4680"/>
        </w:tabs>
        <w:suppressAutoHyphens/>
        <w:rPr>
          <w:rFonts w:ascii="Bookman Old Style" w:hAnsi="Bookman Old Style"/>
        </w:rPr>
      </w:pPr>
    </w:p>
    <w:p w14:paraId="0C0966A3" w14:textId="77777777" w:rsidR="00F52BEA" w:rsidRDefault="00F52BEA" w:rsidP="00F52BEA">
      <w:pPr>
        <w:pStyle w:val="Heading3"/>
        <w:widowControl/>
        <w:tabs>
          <w:tab w:val="center" w:pos="4680"/>
        </w:tabs>
        <w:suppressAutoHyphens/>
        <w:rPr>
          <w:rFonts w:ascii="Bookman Old Style" w:hAnsi="Bookman Old Style"/>
        </w:rPr>
      </w:pPr>
    </w:p>
    <w:p w14:paraId="5FB33E93"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7A74728D"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605B93AA" w14:textId="77777777" w:rsidR="00F52BEA" w:rsidRPr="00E54541" w:rsidRDefault="00F52BEA" w:rsidP="00E54541">
      <w:pPr>
        <w:widowControl/>
        <w:tabs>
          <w:tab w:val="left" w:pos="-720"/>
        </w:tabs>
        <w:suppressAutoHyphens/>
        <w:rPr>
          <w:rFonts w:ascii="Bookman Old Style" w:hAnsi="Bookman Old Style"/>
          <w:szCs w:val="24"/>
        </w:rPr>
      </w:pPr>
    </w:p>
    <w:p w14:paraId="343CD81F"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1D3BDE4D" w14:textId="77777777" w:rsidR="005A281D" w:rsidRPr="00E54541" w:rsidRDefault="005A281D" w:rsidP="00E54541">
      <w:pPr>
        <w:widowControl/>
        <w:tabs>
          <w:tab w:val="left" w:pos="-720"/>
        </w:tabs>
        <w:suppressAutoHyphens/>
        <w:rPr>
          <w:rFonts w:ascii="Bookman Old Style" w:hAnsi="Bookman Old Style"/>
          <w:szCs w:val="24"/>
        </w:rPr>
      </w:pPr>
    </w:p>
    <w:p w14:paraId="1CCBFCED" w14:textId="560869DF"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033A5E">
        <w:rPr>
          <w:rFonts w:ascii="Bookman Old Style" w:hAnsi="Bookman Old Style"/>
          <w:szCs w:val="24"/>
        </w:rPr>
        <w:t>21 1707</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033A5E">
        <w:rPr>
          <w:rFonts w:ascii="Bookman Old Style" w:hAnsi="Bookman Old Style"/>
          <w:szCs w:val="24"/>
        </w:rPr>
        <w:t>February 7, 2022</w:t>
      </w:r>
    </w:p>
    <w:p w14:paraId="58B2D87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027ABFE"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6CFE09C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443658C2" w14:textId="41169EDA" w:rsidR="00033A5E" w:rsidRPr="00033A5E" w:rsidRDefault="00033A5E" w:rsidP="00033A5E">
      <w:pPr>
        <w:widowControl/>
        <w:tabs>
          <w:tab w:val="left" w:pos="-1440"/>
          <w:tab w:val="left" w:pos="-720"/>
          <w:tab w:val="left" w:pos="0"/>
          <w:tab w:val="left" w:pos="5760"/>
        </w:tabs>
        <w:suppressAutoHyphens/>
        <w:ind w:right="-360"/>
        <w:rPr>
          <w:rFonts w:ascii="Bookman Old Style" w:hAnsi="Bookman Old Style"/>
          <w:szCs w:val="24"/>
        </w:rPr>
      </w:pPr>
      <w:r w:rsidRPr="00033A5E">
        <w:rPr>
          <w:rFonts w:ascii="Bookman Old Style" w:hAnsi="Bookman Old Style"/>
          <w:szCs w:val="24"/>
        </w:rPr>
        <w:t>YUVONE FOWLER</w:t>
      </w:r>
      <w:r w:rsidR="003035BC">
        <w:rPr>
          <w:rFonts w:ascii="Bookman Old Style" w:hAnsi="Bookman Old Style"/>
          <w:szCs w:val="24"/>
        </w:rPr>
        <w:tab/>
        <w:t>MARLOWE MANOR ASSISTED</w:t>
      </w:r>
    </w:p>
    <w:p w14:paraId="73F7D5ED" w14:textId="67B7E36C" w:rsidR="00033A5E" w:rsidRPr="00033A5E" w:rsidRDefault="00D6764C" w:rsidP="00033A5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r w:rsidR="003035BC">
        <w:rPr>
          <w:rFonts w:ascii="Bookman Old Style" w:hAnsi="Bookman Old Style"/>
          <w:szCs w:val="24"/>
        </w:rPr>
        <w:t>LIVING FACILITY</w:t>
      </w:r>
    </w:p>
    <w:p w14:paraId="6ADAC2DC" w14:textId="149C84B9"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39C628E" w14:textId="317DC804" w:rsidR="00D6764C" w:rsidRDefault="00D6764C" w:rsidP="00E54541">
      <w:pPr>
        <w:widowControl/>
        <w:tabs>
          <w:tab w:val="left" w:pos="-1440"/>
          <w:tab w:val="left" w:pos="-720"/>
          <w:tab w:val="left" w:pos="0"/>
          <w:tab w:val="left" w:pos="5760"/>
        </w:tabs>
        <w:suppressAutoHyphens/>
        <w:ind w:right="-360"/>
        <w:rPr>
          <w:rFonts w:ascii="Bookman Old Style" w:hAnsi="Bookman Old Style"/>
          <w:szCs w:val="24"/>
        </w:rPr>
      </w:pPr>
    </w:p>
    <w:p w14:paraId="416F008B" w14:textId="77777777" w:rsidR="00D6764C" w:rsidRPr="00E54541" w:rsidRDefault="00D6764C" w:rsidP="00E54541">
      <w:pPr>
        <w:widowControl/>
        <w:tabs>
          <w:tab w:val="left" w:pos="-1440"/>
          <w:tab w:val="left" w:pos="-720"/>
          <w:tab w:val="left" w:pos="0"/>
          <w:tab w:val="left" w:pos="5760"/>
        </w:tabs>
        <w:suppressAutoHyphens/>
        <w:ind w:right="-360"/>
        <w:rPr>
          <w:rFonts w:ascii="Bookman Old Style" w:hAnsi="Bookman Old Style"/>
          <w:szCs w:val="24"/>
        </w:rPr>
      </w:pPr>
    </w:p>
    <w:p w14:paraId="65726695"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70D65B49"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A78F4B5" w14:textId="12DEF6F2" w:rsidR="005A281D" w:rsidRDefault="003035BC" w:rsidP="00E54541">
      <w:pPr>
        <w:widowControl/>
        <w:tabs>
          <w:tab w:val="left" w:pos="-1440"/>
          <w:tab w:val="left" w:pos="-720"/>
          <w:tab w:val="left" w:pos="0"/>
          <w:tab w:val="left" w:pos="5760"/>
        </w:tabs>
        <w:suppressAutoHyphens/>
        <w:ind w:right="-360"/>
        <w:rPr>
          <w:rFonts w:ascii="Bookman Old Style" w:hAnsi="Bookman Old Style"/>
          <w:szCs w:val="24"/>
        </w:rPr>
      </w:pPr>
      <w:proofErr w:type="spellStart"/>
      <w:r>
        <w:rPr>
          <w:rFonts w:ascii="Bookman Old Style" w:hAnsi="Bookman Old Style"/>
          <w:szCs w:val="24"/>
        </w:rPr>
        <w:t>Yuvone</w:t>
      </w:r>
      <w:proofErr w:type="spellEnd"/>
      <w:r>
        <w:rPr>
          <w:rFonts w:ascii="Bookman Old Style" w:hAnsi="Bookman Old Style"/>
          <w:szCs w:val="24"/>
        </w:rPr>
        <w:t xml:space="preserve"> Flower</w:t>
      </w:r>
      <w:r w:rsidR="003E7E91" w:rsidRPr="00E54541">
        <w:rPr>
          <w:rFonts w:ascii="Bookman Old Style" w:hAnsi="Bookman Old Style"/>
          <w:szCs w:val="24"/>
        </w:rPr>
        <w:tab/>
      </w:r>
      <w:r>
        <w:rPr>
          <w:rFonts w:ascii="Bookman Old Style" w:hAnsi="Bookman Old Style"/>
          <w:szCs w:val="24"/>
        </w:rPr>
        <w:t>Theresa Brisky</w:t>
      </w:r>
    </w:p>
    <w:p w14:paraId="01322408" w14:textId="2A672FDB" w:rsidR="005A281D" w:rsidRPr="00E54541" w:rsidRDefault="003035BC"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Carol Wolfe</w:t>
      </w:r>
    </w:p>
    <w:p w14:paraId="7B9CFA9A"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046F2E3"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4CE0C71B" w14:textId="77777777" w:rsidR="005A281D" w:rsidRPr="00E54541" w:rsidRDefault="005A281D" w:rsidP="00E54541">
      <w:pPr>
        <w:tabs>
          <w:tab w:val="left" w:pos="-1440"/>
          <w:tab w:val="left" w:pos="-720"/>
        </w:tabs>
        <w:rPr>
          <w:rFonts w:ascii="Bookman Old Style" w:hAnsi="Bookman Old Style"/>
          <w:szCs w:val="24"/>
        </w:rPr>
      </w:pPr>
    </w:p>
    <w:p w14:paraId="66432C13" w14:textId="65E10F53" w:rsidR="00C035D6" w:rsidRPr="00E54541" w:rsidRDefault="00C035D6" w:rsidP="00E54541">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3035BC">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3035BC">
        <w:rPr>
          <w:rFonts w:ascii="Bookman Old Style" w:hAnsi="Bookman Old Style"/>
          <w:snapToGrid/>
          <w:szCs w:val="24"/>
        </w:rPr>
        <w:t xml:space="preserve">n August 17, </w:t>
      </w:r>
      <w:proofErr w:type="gramStart"/>
      <w:r w:rsidR="003035BC">
        <w:rPr>
          <w:rFonts w:ascii="Bookman Old Style" w:hAnsi="Bookman Old Style"/>
          <w:snapToGrid/>
          <w:szCs w:val="24"/>
        </w:rPr>
        <w:t>2021</w:t>
      </w:r>
      <w:proofErr w:type="gramEnd"/>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39FEC9DE" w14:textId="77777777" w:rsidR="005A281D" w:rsidRPr="00E54541" w:rsidRDefault="005A281D" w:rsidP="00E54541">
      <w:pPr>
        <w:tabs>
          <w:tab w:val="left" w:pos="-1440"/>
          <w:tab w:val="left" w:pos="-720"/>
        </w:tabs>
        <w:rPr>
          <w:rFonts w:ascii="Bookman Old Style" w:hAnsi="Bookman Old Style"/>
          <w:szCs w:val="24"/>
        </w:rPr>
      </w:pPr>
    </w:p>
    <w:p w14:paraId="7E9311E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6B21C279" w14:textId="77777777" w:rsidR="005A281D" w:rsidRPr="00E54541" w:rsidRDefault="005A281D" w:rsidP="00E54541">
      <w:pPr>
        <w:tabs>
          <w:tab w:val="left" w:pos="-1440"/>
          <w:tab w:val="left" w:pos="-720"/>
        </w:tabs>
        <w:rPr>
          <w:rFonts w:ascii="Bookman Old Style" w:hAnsi="Bookman Old Style"/>
          <w:szCs w:val="24"/>
        </w:rPr>
      </w:pPr>
    </w:p>
    <w:p w14:paraId="57C2D556" w14:textId="77AEEF3D"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3035BC">
        <w:rPr>
          <w:rFonts w:ascii="Bookman Old Style" w:hAnsi="Bookman Old Style"/>
          <w:snapToGrid/>
          <w:szCs w:val="24"/>
        </w:rPr>
        <w:t>April 19, 2021</w:t>
      </w:r>
      <w:r w:rsidRPr="00E54541">
        <w:rPr>
          <w:rFonts w:ascii="Bookman Old Style" w:hAnsi="Bookman Old Style"/>
          <w:snapToGrid/>
          <w:szCs w:val="24"/>
        </w:rPr>
        <w:t xml:space="preserve">. </w:t>
      </w:r>
      <w:r w:rsidR="00582406">
        <w:rPr>
          <w:rFonts w:ascii="Bookman Old Style" w:hAnsi="Bookman Old Style"/>
          <w:snapToGrid/>
          <w:szCs w:val="24"/>
        </w:rPr>
        <w:t>She</w:t>
      </w:r>
      <w:r w:rsidRPr="00E54541">
        <w:rPr>
          <w:rFonts w:ascii="Bookman Old Style" w:hAnsi="Bookman Old Style"/>
          <w:snapToGrid/>
          <w:szCs w:val="24"/>
        </w:rPr>
        <w:t xml:space="preserve"> last worked on </w:t>
      </w:r>
      <w:r w:rsidR="00582406">
        <w:rPr>
          <w:rFonts w:ascii="Bookman Old Style" w:hAnsi="Bookman Old Style"/>
          <w:snapToGrid/>
          <w:szCs w:val="24"/>
        </w:rPr>
        <w:t>June 6, 2021</w:t>
      </w:r>
      <w:r w:rsidRPr="00E54541">
        <w:rPr>
          <w:rFonts w:ascii="Bookman Old Style" w:hAnsi="Bookman Old Style"/>
          <w:snapToGrid/>
          <w:szCs w:val="24"/>
        </w:rPr>
        <w:t xml:space="preserve">. At that time, </w:t>
      </w:r>
      <w:r w:rsidR="00582406">
        <w:rPr>
          <w:rFonts w:ascii="Bookman Old Style" w:hAnsi="Bookman Old Style"/>
          <w:snapToGrid/>
          <w:szCs w:val="24"/>
        </w:rPr>
        <w:t>she</w:t>
      </w:r>
      <w:r w:rsidRPr="00E54541">
        <w:rPr>
          <w:rFonts w:ascii="Bookman Old Style" w:hAnsi="Bookman Old Style"/>
          <w:snapToGrid/>
          <w:szCs w:val="24"/>
        </w:rPr>
        <w:t xml:space="preserve"> worked </w:t>
      </w:r>
      <w:r w:rsidR="00582406">
        <w:rPr>
          <w:rFonts w:ascii="Bookman Old Style" w:hAnsi="Bookman Old Style"/>
          <w:snapToGrid/>
          <w:szCs w:val="24"/>
        </w:rPr>
        <w:t>full-time</w:t>
      </w:r>
      <w:r w:rsidRPr="00E54541">
        <w:rPr>
          <w:rFonts w:ascii="Bookman Old Style" w:hAnsi="Bookman Old Style"/>
          <w:snapToGrid/>
          <w:szCs w:val="24"/>
        </w:rPr>
        <w:t xml:space="preserve"> as a </w:t>
      </w:r>
      <w:r w:rsidR="00582406">
        <w:rPr>
          <w:rFonts w:ascii="Bookman Old Style" w:hAnsi="Bookman Old Style"/>
          <w:snapToGrid/>
          <w:szCs w:val="24"/>
        </w:rPr>
        <w:t>residential living assistant</w:t>
      </w:r>
      <w:r w:rsidRPr="00E54541">
        <w:rPr>
          <w:rFonts w:ascii="Bookman Old Style" w:hAnsi="Bookman Old Style"/>
          <w:snapToGrid/>
          <w:szCs w:val="24"/>
        </w:rPr>
        <w:t>.</w:t>
      </w:r>
    </w:p>
    <w:p w14:paraId="0D1CECA7" w14:textId="4B1520B0" w:rsidR="00582406" w:rsidRDefault="00582406"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was not satisfied with the claimant’s performance from the beginning of her employment. The employer received complaints that the claimant did not get along with staff and did not accept constructive criticism. The claimant believed that </w:t>
      </w:r>
      <w:r w:rsidR="009508B1">
        <w:rPr>
          <w:rFonts w:ascii="Bookman Old Style" w:hAnsi="Bookman Old Style"/>
          <w:snapToGrid/>
          <w:szCs w:val="24"/>
        </w:rPr>
        <w:t xml:space="preserve">communication issues with coworkers who had strong accents she did not understand may have contributed to the idea that she did not get along with staff.  </w:t>
      </w:r>
      <w:r>
        <w:rPr>
          <w:rFonts w:ascii="Bookman Old Style" w:hAnsi="Bookman Old Style"/>
          <w:snapToGrid/>
          <w:szCs w:val="24"/>
        </w:rPr>
        <w:t>The claimant was counseled about an instance where a resident under the claimant’s care did not use the toilet during the claimant’s entire shift. The claimant told the employer she had asked</w:t>
      </w:r>
      <w:r w:rsidR="005478ED">
        <w:rPr>
          <w:rFonts w:ascii="Bookman Old Style" w:hAnsi="Bookman Old Style"/>
          <w:snapToGrid/>
          <w:szCs w:val="24"/>
        </w:rPr>
        <w:t>,</w:t>
      </w:r>
      <w:r>
        <w:rPr>
          <w:rFonts w:ascii="Bookman Old Style" w:hAnsi="Bookman Old Style"/>
          <w:snapToGrid/>
          <w:szCs w:val="24"/>
        </w:rPr>
        <w:t xml:space="preserve"> and the resident </w:t>
      </w:r>
      <w:r w:rsidR="009508B1">
        <w:rPr>
          <w:rFonts w:ascii="Bookman Old Style" w:hAnsi="Bookman Old Style"/>
          <w:snapToGrid/>
          <w:szCs w:val="24"/>
        </w:rPr>
        <w:t xml:space="preserve">had </w:t>
      </w:r>
      <w:r>
        <w:rPr>
          <w:rFonts w:ascii="Bookman Old Style" w:hAnsi="Bookman Old Style"/>
          <w:snapToGrid/>
          <w:szCs w:val="24"/>
        </w:rPr>
        <w:t xml:space="preserve">refused. The employer </w:t>
      </w:r>
      <w:r w:rsidR="005478ED">
        <w:rPr>
          <w:rFonts w:ascii="Bookman Old Style" w:hAnsi="Bookman Old Style"/>
          <w:snapToGrid/>
          <w:szCs w:val="24"/>
        </w:rPr>
        <w:t xml:space="preserve">told </w:t>
      </w:r>
      <w:r>
        <w:rPr>
          <w:rFonts w:ascii="Bookman Old Style" w:hAnsi="Bookman Old Style"/>
          <w:snapToGrid/>
          <w:szCs w:val="24"/>
        </w:rPr>
        <w:t xml:space="preserve">the claimant </w:t>
      </w:r>
      <w:r w:rsidR="00EE4ED6">
        <w:rPr>
          <w:rFonts w:ascii="Bookman Old Style" w:hAnsi="Bookman Old Style"/>
          <w:snapToGrid/>
          <w:szCs w:val="24"/>
        </w:rPr>
        <w:t xml:space="preserve">she </w:t>
      </w:r>
      <w:r>
        <w:rPr>
          <w:rFonts w:ascii="Bookman Old Style" w:hAnsi="Bookman Old Style"/>
          <w:snapToGrid/>
          <w:szCs w:val="24"/>
        </w:rPr>
        <w:t xml:space="preserve">should use a different approach to encourage the resident. </w:t>
      </w:r>
      <w:r w:rsidR="009508B1">
        <w:rPr>
          <w:rFonts w:ascii="Bookman Old Style" w:hAnsi="Bookman Old Style"/>
          <w:snapToGrid/>
          <w:szCs w:val="24"/>
        </w:rPr>
        <w:t xml:space="preserve">The employer </w:t>
      </w:r>
      <w:r w:rsidR="00EE4ED6">
        <w:rPr>
          <w:rFonts w:ascii="Bookman Old Style" w:hAnsi="Bookman Old Style"/>
          <w:snapToGrid/>
          <w:szCs w:val="24"/>
        </w:rPr>
        <w:t>noted</w:t>
      </w:r>
      <w:r w:rsidR="009508B1">
        <w:rPr>
          <w:rFonts w:ascii="Bookman Old Style" w:hAnsi="Bookman Old Style"/>
          <w:snapToGrid/>
          <w:szCs w:val="24"/>
        </w:rPr>
        <w:t xml:space="preserve"> that the claimant documented asking </w:t>
      </w:r>
      <w:r w:rsidR="00EE4ED6">
        <w:rPr>
          <w:rFonts w:ascii="Bookman Old Style" w:hAnsi="Bookman Old Style"/>
          <w:snapToGrid/>
          <w:szCs w:val="24"/>
        </w:rPr>
        <w:t>th</w:t>
      </w:r>
      <w:r w:rsidR="009508B1">
        <w:rPr>
          <w:rFonts w:ascii="Bookman Old Style" w:hAnsi="Bookman Old Style"/>
          <w:snapToGrid/>
          <w:szCs w:val="24"/>
        </w:rPr>
        <w:t>e claimant to use the toilet at 2:00, when she was seen initially entering the floor at 2:08 on the employer’s security camera.</w:t>
      </w:r>
    </w:p>
    <w:p w14:paraId="611DA662" w14:textId="572FE4B4" w:rsidR="009508B1" w:rsidRDefault="009508B1"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lastRenderedPageBreak/>
        <w:t xml:space="preserve">On June 7, 2021, the employer received a complaint from a </w:t>
      </w:r>
      <w:r w:rsidR="005478ED">
        <w:rPr>
          <w:rFonts w:ascii="Bookman Old Style" w:hAnsi="Bookman Old Style"/>
          <w:snapToGrid/>
          <w:szCs w:val="24"/>
        </w:rPr>
        <w:t xml:space="preserve">resident’s </w:t>
      </w:r>
      <w:r>
        <w:rPr>
          <w:rFonts w:ascii="Bookman Old Style" w:hAnsi="Bookman Old Style"/>
          <w:snapToGrid/>
          <w:szCs w:val="24"/>
        </w:rPr>
        <w:t xml:space="preserve">family member that the claimant had been rude to them on the phone.  The employer’s representatives in the hearing had not talked to the family member and did not know what the claimant had said or done that was </w:t>
      </w:r>
      <w:r w:rsidR="00EE4ED6">
        <w:rPr>
          <w:rFonts w:ascii="Bookman Old Style" w:hAnsi="Bookman Old Style"/>
          <w:snapToGrid/>
          <w:szCs w:val="24"/>
        </w:rPr>
        <w:t xml:space="preserve">believed to be </w:t>
      </w:r>
      <w:r>
        <w:rPr>
          <w:rFonts w:ascii="Bookman Old Style" w:hAnsi="Bookman Old Style"/>
          <w:snapToGrid/>
          <w:szCs w:val="24"/>
        </w:rPr>
        <w:t xml:space="preserve">rude. The claimant recalled that a </w:t>
      </w:r>
      <w:r w:rsidR="00057A9B">
        <w:rPr>
          <w:rFonts w:ascii="Bookman Old Style" w:hAnsi="Bookman Old Style"/>
          <w:snapToGrid/>
          <w:szCs w:val="24"/>
        </w:rPr>
        <w:t xml:space="preserve">resident’s </w:t>
      </w:r>
      <w:r>
        <w:rPr>
          <w:rFonts w:ascii="Bookman Old Style" w:hAnsi="Bookman Old Style"/>
          <w:snapToGrid/>
          <w:szCs w:val="24"/>
        </w:rPr>
        <w:t xml:space="preserve">family member had called </w:t>
      </w:r>
      <w:r w:rsidR="00EE4ED6">
        <w:rPr>
          <w:rFonts w:ascii="Bookman Old Style" w:hAnsi="Bookman Old Style"/>
          <w:snapToGrid/>
          <w:szCs w:val="24"/>
        </w:rPr>
        <w:t xml:space="preserve">during her last shift </w:t>
      </w:r>
      <w:r>
        <w:rPr>
          <w:rFonts w:ascii="Bookman Old Style" w:hAnsi="Bookman Old Style"/>
          <w:snapToGrid/>
          <w:szCs w:val="24"/>
        </w:rPr>
        <w:t xml:space="preserve">to report </w:t>
      </w:r>
      <w:r w:rsidR="005478ED">
        <w:rPr>
          <w:rFonts w:ascii="Bookman Old Style" w:hAnsi="Bookman Old Style"/>
          <w:snapToGrid/>
          <w:szCs w:val="24"/>
        </w:rPr>
        <w:t xml:space="preserve">that </w:t>
      </w:r>
      <w:r>
        <w:rPr>
          <w:rFonts w:ascii="Bookman Old Style" w:hAnsi="Bookman Old Style"/>
          <w:snapToGrid/>
          <w:szCs w:val="24"/>
        </w:rPr>
        <w:t>they saw a naked person enter their resident’s room on a video camera</w:t>
      </w:r>
      <w:r w:rsidR="005478ED">
        <w:rPr>
          <w:rFonts w:ascii="Bookman Old Style" w:hAnsi="Bookman Old Style"/>
          <w:snapToGrid/>
          <w:szCs w:val="24"/>
        </w:rPr>
        <w:t xml:space="preserve">. The claimant was not working on that </w:t>
      </w:r>
      <w:proofErr w:type="gramStart"/>
      <w:r w:rsidR="005478ED">
        <w:rPr>
          <w:rFonts w:ascii="Bookman Old Style" w:hAnsi="Bookman Old Style"/>
          <w:snapToGrid/>
          <w:szCs w:val="24"/>
        </w:rPr>
        <w:t>floor</w:t>
      </w:r>
      <w:proofErr w:type="gramEnd"/>
      <w:r w:rsidR="005478ED">
        <w:rPr>
          <w:rFonts w:ascii="Bookman Old Style" w:hAnsi="Bookman Old Style"/>
          <w:snapToGrid/>
          <w:szCs w:val="24"/>
        </w:rPr>
        <w:t xml:space="preserve"> and she had to go to that floor twice and speak to the family member twice to </w:t>
      </w:r>
      <w:r w:rsidR="00EE4ED6">
        <w:rPr>
          <w:rFonts w:ascii="Bookman Old Style" w:hAnsi="Bookman Old Style"/>
          <w:snapToGrid/>
          <w:szCs w:val="24"/>
        </w:rPr>
        <w:t xml:space="preserve">try to </w:t>
      </w:r>
      <w:r w:rsidR="005478ED">
        <w:rPr>
          <w:rFonts w:ascii="Bookman Old Style" w:hAnsi="Bookman Old Style"/>
          <w:snapToGrid/>
          <w:szCs w:val="24"/>
        </w:rPr>
        <w:t xml:space="preserve">determine which room their resident was in.  The claimant did not recall being rude to the family member.   </w:t>
      </w:r>
    </w:p>
    <w:p w14:paraId="3A2DDA79" w14:textId="456FE9E3" w:rsidR="005478ED" w:rsidRPr="00E54541" w:rsidRDefault="005478ED"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After receiving the complaint, the employer decided to discharge the claimant because she was not a good </w:t>
      </w:r>
      <w:proofErr w:type="gramStart"/>
      <w:r>
        <w:rPr>
          <w:rFonts w:ascii="Bookman Old Style" w:hAnsi="Bookman Old Style"/>
          <w:snapToGrid/>
          <w:szCs w:val="24"/>
        </w:rPr>
        <w:t>fit</w:t>
      </w:r>
      <w:proofErr w:type="gramEnd"/>
      <w:r>
        <w:rPr>
          <w:rFonts w:ascii="Bookman Old Style" w:hAnsi="Bookman Old Style"/>
          <w:snapToGrid/>
          <w:szCs w:val="24"/>
        </w:rPr>
        <w:t xml:space="preserve"> and she was still in her 90-day probation period.  The claimant was advised on June 9, </w:t>
      </w:r>
      <w:proofErr w:type="gramStart"/>
      <w:r>
        <w:rPr>
          <w:rFonts w:ascii="Bookman Old Style" w:hAnsi="Bookman Old Style"/>
          <w:snapToGrid/>
          <w:szCs w:val="24"/>
        </w:rPr>
        <w:t>2021</w:t>
      </w:r>
      <w:proofErr w:type="gramEnd"/>
      <w:r>
        <w:rPr>
          <w:rFonts w:ascii="Bookman Old Style" w:hAnsi="Bookman Old Style"/>
          <w:snapToGrid/>
          <w:szCs w:val="24"/>
        </w:rPr>
        <w:t xml:space="preserve"> that she was being discharged. </w:t>
      </w:r>
      <w:r w:rsidR="00057A9B">
        <w:rPr>
          <w:rFonts w:ascii="Bookman Old Style" w:hAnsi="Bookman Old Style"/>
          <w:snapToGrid/>
          <w:szCs w:val="24"/>
        </w:rPr>
        <w:t xml:space="preserve">The claimant left and refused to discuss the reason or to sign any documents regarding her discharge. </w:t>
      </w:r>
    </w:p>
    <w:p w14:paraId="687F28CB" w14:textId="77777777" w:rsidR="005A281D" w:rsidRPr="00E54541" w:rsidRDefault="005A281D" w:rsidP="00E54541">
      <w:pPr>
        <w:tabs>
          <w:tab w:val="left" w:pos="-1440"/>
          <w:tab w:val="left" w:pos="-720"/>
        </w:tabs>
        <w:rPr>
          <w:rFonts w:ascii="Bookman Old Style" w:hAnsi="Bookman Old Style"/>
          <w:szCs w:val="24"/>
        </w:rPr>
      </w:pPr>
    </w:p>
    <w:p w14:paraId="714CEACE"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2ED8D2BA" w14:textId="77777777" w:rsidR="005A281D" w:rsidRPr="00E54541" w:rsidRDefault="005A281D" w:rsidP="00E54541">
      <w:pPr>
        <w:tabs>
          <w:tab w:val="left" w:pos="-1440"/>
          <w:tab w:val="left" w:pos="-720"/>
        </w:tabs>
        <w:rPr>
          <w:rFonts w:ascii="Bookman Old Style" w:hAnsi="Bookman Old Style"/>
          <w:szCs w:val="24"/>
        </w:rPr>
      </w:pPr>
    </w:p>
    <w:p w14:paraId="4F190701"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0E2E9E9D"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462E5E62" w14:textId="716C85D9" w:rsidR="00600E6C" w:rsidRPr="00E54541" w:rsidRDefault="00600E6C" w:rsidP="00057A9B">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7BE7B821"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038FC4BA"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3D7AB510" w14:textId="77777777" w:rsidR="00600E6C" w:rsidRPr="00E54541" w:rsidRDefault="00600E6C" w:rsidP="00E54541">
      <w:pPr>
        <w:tabs>
          <w:tab w:val="left" w:pos="-1440"/>
          <w:tab w:val="left" w:pos="-720"/>
        </w:tabs>
        <w:rPr>
          <w:rFonts w:ascii="Bookman Old Style" w:hAnsi="Bookman Old Style"/>
          <w:szCs w:val="24"/>
        </w:rPr>
      </w:pPr>
    </w:p>
    <w:p w14:paraId="27810812"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1C1F6B8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7C6D4E2B"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687C51A4" w14:textId="6B57D49C" w:rsidR="00600E6C" w:rsidRPr="00E54541" w:rsidRDefault="00600E6C" w:rsidP="00057A9B">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0454F339"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4A0381BC"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0394F3B3"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0455CACF"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lastRenderedPageBreak/>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6A522430"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6C434018"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6AFEBFD1"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4A11B2BB"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240288E0"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78F6F0A5" w14:textId="23844B67" w:rsidR="00600E6C" w:rsidRPr="00057A9B" w:rsidRDefault="00600E6C" w:rsidP="00057A9B">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347ADA09"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16ABC66F" w14:textId="254D6318" w:rsidR="00600E6C" w:rsidRPr="00E54541" w:rsidRDefault="00600E6C" w:rsidP="00057A9B">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6E85ABA"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2AED7993"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735DB45F"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6CDD94A6" w14:textId="77777777" w:rsidR="00600E6C" w:rsidRPr="00E54541" w:rsidRDefault="00600E6C" w:rsidP="00E54541">
      <w:pPr>
        <w:widowControl/>
        <w:autoSpaceDE w:val="0"/>
        <w:autoSpaceDN w:val="0"/>
        <w:adjustRightInd w:val="0"/>
        <w:rPr>
          <w:rFonts w:ascii="Bookman Old Style" w:hAnsi="Bookman Old Style"/>
          <w:snapToGrid/>
          <w:szCs w:val="24"/>
        </w:rPr>
      </w:pPr>
    </w:p>
    <w:p w14:paraId="0B9C9321"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10C4FEFB"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0769A2E" w14:textId="77777777" w:rsidR="00600E6C" w:rsidRPr="00E54541" w:rsidRDefault="00600E6C" w:rsidP="00E54541">
      <w:pPr>
        <w:rPr>
          <w:rFonts w:ascii="Bookman Old Style" w:hAnsi="Bookman Old Style"/>
          <w:szCs w:val="24"/>
        </w:rPr>
      </w:pPr>
    </w:p>
    <w:p w14:paraId="1105BCFE"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t>C</w:t>
      </w:r>
      <w:r w:rsidR="005A281D" w:rsidRPr="00E54541">
        <w:rPr>
          <w:rFonts w:ascii="Bookman Old Style" w:hAnsi="Bookman Old Style"/>
          <w:szCs w:val="24"/>
        </w:rPr>
        <w:t>ONCLUSION</w:t>
      </w:r>
    </w:p>
    <w:p w14:paraId="24300D81" w14:textId="77777777" w:rsidR="00C035D6" w:rsidRPr="00E54541" w:rsidRDefault="00C035D6" w:rsidP="00E54541">
      <w:pPr>
        <w:rPr>
          <w:rFonts w:ascii="Bookman Old Style" w:hAnsi="Bookman Old Style"/>
          <w:szCs w:val="24"/>
        </w:rPr>
      </w:pPr>
    </w:p>
    <w:p w14:paraId="0D804143" w14:textId="6A965089" w:rsidR="00EE4ED6" w:rsidRDefault="00EE4ED6" w:rsidP="00E54541">
      <w:pPr>
        <w:suppressAutoHyphens/>
        <w:rPr>
          <w:rFonts w:ascii="Bookman Old Style" w:hAnsi="Bookman Old Style"/>
          <w:spacing w:val="-3"/>
          <w:szCs w:val="24"/>
        </w:rPr>
      </w:pPr>
      <w:r>
        <w:rPr>
          <w:rFonts w:ascii="Bookman Old Style" w:hAnsi="Bookman Old Style"/>
          <w:spacing w:val="-3"/>
          <w:szCs w:val="24"/>
        </w:rPr>
        <w:t>Alaska Statute 23.20.379 holds that the Division must examine the reason a claimant is unemployed and determine if penalties apply.  The Division held that the claimant voluntarily quit work</w:t>
      </w:r>
      <w:r w:rsidR="00424D53">
        <w:rPr>
          <w:rFonts w:ascii="Bookman Old Style" w:hAnsi="Bookman Old Style"/>
          <w:spacing w:val="-3"/>
          <w:szCs w:val="24"/>
        </w:rPr>
        <w:t xml:space="preserve"> when she refused to sign a discharge document</w:t>
      </w:r>
      <w:r>
        <w:rPr>
          <w:rFonts w:ascii="Bookman Old Style" w:hAnsi="Bookman Old Style"/>
          <w:spacing w:val="-3"/>
          <w:szCs w:val="24"/>
        </w:rPr>
        <w:t>.</w:t>
      </w:r>
      <w:r w:rsidR="00424D53">
        <w:rPr>
          <w:rFonts w:ascii="Bookman Old Style" w:hAnsi="Bookman Old Style"/>
          <w:spacing w:val="-3"/>
          <w:szCs w:val="24"/>
        </w:rPr>
        <w:t xml:space="preserve"> The Tribunal does not agree.</w:t>
      </w:r>
    </w:p>
    <w:p w14:paraId="1B49944F" w14:textId="77777777" w:rsidR="00EE4ED6" w:rsidRDefault="00EE4ED6" w:rsidP="00E54541">
      <w:pPr>
        <w:suppressAutoHyphens/>
        <w:rPr>
          <w:rFonts w:ascii="Bookman Old Style" w:hAnsi="Bookman Old Style"/>
          <w:spacing w:val="-3"/>
          <w:szCs w:val="24"/>
        </w:rPr>
      </w:pPr>
    </w:p>
    <w:p w14:paraId="6282CE4D" w14:textId="2ACC69E5" w:rsidR="00C035D6" w:rsidRDefault="00C035D6" w:rsidP="00E54541">
      <w:pPr>
        <w:suppressAutoHyphens/>
        <w:rPr>
          <w:rFonts w:ascii="Bookman Old Style" w:hAnsi="Bookman Old Style"/>
          <w:spacing w:val="-3"/>
          <w:szCs w:val="24"/>
        </w:rPr>
      </w:pPr>
      <w:r w:rsidRPr="00E54541">
        <w:rPr>
          <w:rFonts w:ascii="Bookman Old Style" w:hAnsi="Bookman Old Style"/>
          <w:spacing w:val="-3"/>
          <w:szCs w:val="24"/>
        </w:rPr>
        <w:t xml:space="preserve">A discharge is “a separation from work in which the employer takes the action which results in the separation, and the worker does not have the choice of remaining in employment." 8 AAC 85.010(20). </w:t>
      </w:r>
      <w:r w:rsidRPr="00E54541">
        <w:rPr>
          <w:rFonts w:ascii="Bookman Old Style" w:hAnsi="Bookman Old Style"/>
          <w:spacing w:val="-3"/>
          <w:szCs w:val="24"/>
        </w:rPr>
        <w:fldChar w:fldCharType="begin"/>
      </w:r>
      <w:r w:rsidRPr="00E54541">
        <w:rPr>
          <w:rFonts w:ascii="Bookman Old Style" w:hAnsi="Bookman Old Style"/>
          <w:spacing w:val="-3"/>
          <w:szCs w:val="24"/>
        </w:rPr>
        <w:instrText xml:space="preserve">PRIVATE </w:instrText>
      </w:r>
      <w:r w:rsidRPr="00E54541">
        <w:rPr>
          <w:rFonts w:ascii="Bookman Old Style" w:hAnsi="Bookman Old Style"/>
          <w:spacing w:val="-3"/>
          <w:szCs w:val="24"/>
        </w:rPr>
        <w:fldChar w:fldCharType="end"/>
      </w:r>
      <w:r w:rsidRPr="00E54541">
        <w:rPr>
          <w:rFonts w:ascii="Bookman Old Style" w:hAnsi="Bookman Old Style"/>
          <w:spacing w:val="-3"/>
          <w:szCs w:val="24"/>
        </w:rPr>
        <w:t xml:space="preserve">Voluntary leaving means a separation from work in which the worker takes the action which results in the separation, and the worker does have the choice of remaining in employment. </w:t>
      </w:r>
      <w:r w:rsidRPr="00E54541">
        <w:rPr>
          <w:rFonts w:ascii="Bookman Old Style" w:hAnsi="Bookman Old Style"/>
          <w:spacing w:val="-3"/>
          <w:szCs w:val="24"/>
          <w:u w:val="single"/>
        </w:rPr>
        <w:t>Swarm</w:t>
      </w:r>
      <w:r w:rsidRPr="00E54541">
        <w:rPr>
          <w:rFonts w:ascii="Bookman Old Style" w:hAnsi="Bookman Old Style"/>
          <w:spacing w:val="-3"/>
          <w:szCs w:val="24"/>
        </w:rPr>
        <w:t xml:space="preserve">, Com. Dec. 87H-UI-265, September 29, 1987. </w:t>
      </w:r>
      <w:r w:rsidRPr="00E54541">
        <w:rPr>
          <w:rFonts w:ascii="Bookman Old Style" w:hAnsi="Bookman Old Style"/>
          <w:spacing w:val="-3"/>
          <w:szCs w:val="24"/>
          <w:u w:val="single"/>
        </w:rPr>
        <w:t>Alden</w:t>
      </w:r>
      <w:r w:rsidRPr="00E54541">
        <w:rPr>
          <w:rFonts w:ascii="Bookman Old Style" w:hAnsi="Bookman Old Style"/>
          <w:spacing w:val="-3"/>
          <w:szCs w:val="24"/>
        </w:rPr>
        <w:t>, Com. Dec. 85H-UI-320, January 17, 1986.</w:t>
      </w:r>
    </w:p>
    <w:p w14:paraId="7F074876" w14:textId="5573C1A4" w:rsidR="00EE4ED6" w:rsidRDefault="00EE4ED6" w:rsidP="00E54541">
      <w:pPr>
        <w:suppressAutoHyphens/>
        <w:rPr>
          <w:rFonts w:ascii="Bookman Old Style" w:hAnsi="Bookman Old Style"/>
          <w:spacing w:val="-3"/>
          <w:szCs w:val="24"/>
        </w:rPr>
      </w:pPr>
    </w:p>
    <w:p w14:paraId="54D88446" w14:textId="5E39EFC5" w:rsidR="00EE4ED6" w:rsidRDefault="00EE4ED6" w:rsidP="00E54541">
      <w:pPr>
        <w:suppressAutoHyphens/>
        <w:rPr>
          <w:rFonts w:ascii="Bookman Old Style" w:hAnsi="Bookman Old Style"/>
          <w:spacing w:val="-3"/>
          <w:szCs w:val="24"/>
        </w:rPr>
      </w:pPr>
      <w:r>
        <w:rPr>
          <w:rFonts w:ascii="Bookman Old Style" w:hAnsi="Bookman Old Style"/>
          <w:spacing w:val="-3"/>
          <w:szCs w:val="24"/>
        </w:rPr>
        <w:t>Both parties agree that the claimant was discharged on June 9,</w:t>
      </w:r>
      <w:r w:rsidR="00424D53">
        <w:rPr>
          <w:rFonts w:ascii="Bookman Old Style" w:hAnsi="Bookman Old Style"/>
          <w:spacing w:val="-3"/>
          <w:szCs w:val="24"/>
        </w:rPr>
        <w:t xml:space="preserve">2021. The claimant’s refusal to sign a discharge document does not change that she had no choice to remain employed, with or without signing the document. </w:t>
      </w:r>
      <w:r>
        <w:rPr>
          <w:rFonts w:ascii="Bookman Old Style" w:hAnsi="Bookman Old Style"/>
          <w:spacing w:val="-3"/>
          <w:szCs w:val="24"/>
        </w:rPr>
        <w:t xml:space="preserve">The separation is a discharge, so the Tribunal will consider if the discharge was for work related misconduct. </w:t>
      </w:r>
    </w:p>
    <w:p w14:paraId="22115AA4" w14:textId="0ECF0918" w:rsidR="00EE4ED6" w:rsidRDefault="00EE4ED6" w:rsidP="00E54541">
      <w:pPr>
        <w:suppressAutoHyphens/>
        <w:rPr>
          <w:rFonts w:ascii="Bookman Old Style" w:hAnsi="Bookman Old Style"/>
          <w:spacing w:val="-3"/>
          <w:szCs w:val="24"/>
        </w:rPr>
      </w:pPr>
    </w:p>
    <w:p w14:paraId="22FF635A" w14:textId="2082046C" w:rsidR="00A37DC7" w:rsidRPr="00B86EBE" w:rsidRDefault="00A37DC7" w:rsidP="00A37DC7">
      <w:pPr>
        <w:tabs>
          <w:tab w:val="left" w:pos="-1440"/>
          <w:tab w:val="left" w:pos="-720"/>
        </w:tabs>
        <w:suppressAutoHyphens/>
        <w:ind w:left="630" w:right="-360"/>
        <w:rPr>
          <w:rFonts w:ascii="Bookman Old Style" w:hAnsi="Bookman Old Style"/>
        </w:rPr>
      </w:pPr>
      <w:r w:rsidRPr="007D43EC">
        <w:rPr>
          <w:rFonts w:ascii="Bookman Old Style" w:hAnsi="Bookman Old Style"/>
          <w:i/>
        </w:rPr>
        <w:t xml:space="preserve">When a worker has been discharged, the burden of persuasion rests upon the employer to establish that the worker was discharged for misconduct in connection with the work. </w:t>
      </w:r>
      <w:proofErr w:type="gramStart"/>
      <w:r w:rsidRPr="007D43EC">
        <w:rPr>
          <w:rFonts w:ascii="Bookman Old Style" w:hAnsi="Bookman Old Style"/>
          <w:i/>
        </w:rPr>
        <w:t>In order to</w:t>
      </w:r>
      <w:proofErr w:type="gramEnd"/>
      <w:r w:rsidRPr="007D43EC">
        <w:rPr>
          <w:rFonts w:ascii="Bookman Old Style" w:hAnsi="Bookman Old Style"/>
          <w:i/>
        </w:rPr>
        <w:t xml:space="preserve"> bear out that burden, it is necessary that the employer bring forth evidence of a sufficient quantity and quality to establish that misconduct was involved.</w:t>
      </w:r>
      <w:r w:rsidRPr="00B86EBE">
        <w:rPr>
          <w:rFonts w:ascii="Bookman Old Style" w:hAnsi="Bookman Old Style"/>
        </w:rPr>
        <w:t xml:space="preserve"> </w:t>
      </w:r>
      <w:proofErr w:type="spellStart"/>
      <w:r w:rsidRPr="00AF5456">
        <w:rPr>
          <w:rFonts w:ascii="Bookman Old Style" w:hAnsi="Bookman Old Style"/>
          <w:u w:val="single"/>
        </w:rPr>
        <w:t>Rednal</w:t>
      </w:r>
      <w:proofErr w:type="spellEnd"/>
      <w:r w:rsidRPr="00B86EBE">
        <w:rPr>
          <w:rFonts w:ascii="Bookman Old Style" w:hAnsi="Bookman Old Style"/>
        </w:rPr>
        <w:t xml:space="preserve">, Com. Dec. 86-UI-213, August 25, 1986. </w:t>
      </w:r>
    </w:p>
    <w:p w14:paraId="3A933495" w14:textId="77777777" w:rsidR="00A37DC7" w:rsidRDefault="00A37DC7" w:rsidP="00A37DC7">
      <w:pPr>
        <w:tabs>
          <w:tab w:val="left" w:pos="720"/>
          <w:tab w:val="left" w:pos="1080"/>
          <w:tab w:val="left" w:pos="1530"/>
          <w:tab w:val="left" w:pos="1980"/>
        </w:tabs>
        <w:ind w:left="630"/>
        <w:jc w:val="both"/>
        <w:rPr>
          <w:rFonts w:ascii="Bookman Old Style" w:hAnsi="Bookman Old Style"/>
          <w:spacing w:val="-3"/>
        </w:rPr>
      </w:pPr>
    </w:p>
    <w:p w14:paraId="3C551D82" w14:textId="36F06A91" w:rsidR="00A37DC7" w:rsidRPr="003454AA" w:rsidRDefault="00A37DC7" w:rsidP="00A37DC7">
      <w:pPr>
        <w:tabs>
          <w:tab w:val="left" w:pos="720"/>
          <w:tab w:val="left" w:pos="1080"/>
          <w:tab w:val="left" w:pos="1530"/>
          <w:tab w:val="left" w:pos="1980"/>
        </w:tabs>
        <w:ind w:left="630"/>
        <w:jc w:val="both"/>
        <w:rPr>
          <w:rFonts w:ascii="Bookman Old Style" w:hAnsi="Bookman Old Style"/>
          <w:spacing w:val="-3"/>
        </w:rPr>
      </w:pPr>
      <w:r w:rsidRPr="007D43EC">
        <w:rPr>
          <w:rFonts w:ascii="Bookman Old Style" w:hAnsi="Bookman Old Style"/>
          <w:i/>
          <w:spacing w:val="-3"/>
        </w:rPr>
        <w:t>Uncorroborated hearsay evidence must normally be given less weight than that of the sworn testimony of eyewitnesses to an event. Only if first-hand testimony is clearly not credible, should hearsay statements be considered more reliable.</w:t>
      </w:r>
      <w:r w:rsidRPr="003454AA">
        <w:rPr>
          <w:rFonts w:ascii="Bookman Old Style" w:hAnsi="Bookman Old Style"/>
          <w:spacing w:val="-3"/>
        </w:rPr>
        <w:t xml:space="preserve">  </w:t>
      </w:r>
      <w:r w:rsidRPr="003454AA">
        <w:rPr>
          <w:rFonts w:ascii="Bookman Old Style" w:hAnsi="Bookman Old Style"/>
          <w:spacing w:val="-3"/>
          <w:u w:val="single"/>
        </w:rPr>
        <w:t>Weaver</w:t>
      </w:r>
      <w:r w:rsidRPr="003454AA">
        <w:rPr>
          <w:rFonts w:ascii="Bookman Old Style" w:hAnsi="Bookman Old Style"/>
          <w:spacing w:val="-3"/>
        </w:rPr>
        <w:t>, Com. Dec. 96</w:t>
      </w:r>
      <w:proofErr w:type="gramStart"/>
      <w:r w:rsidRPr="003454AA">
        <w:rPr>
          <w:rFonts w:ascii="Bookman Old Style" w:hAnsi="Bookman Old Style"/>
          <w:spacing w:val="-3"/>
        </w:rPr>
        <w:t> 2687</w:t>
      </w:r>
      <w:proofErr w:type="gramEnd"/>
      <w:r w:rsidRPr="003454AA">
        <w:rPr>
          <w:rFonts w:ascii="Bookman Old Style" w:hAnsi="Bookman Old Style"/>
          <w:spacing w:val="-3"/>
        </w:rPr>
        <w:t>, February 13, 1997.</w:t>
      </w:r>
    </w:p>
    <w:p w14:paraId="2859D4DA" w14:textId="77777777" w:rsidR="00A37DC7" w:rsidRDefault="00A37DC7" w:rsidP="00A37DC7">
      <w:pPr>
        <w:tabs>
          <w:tab w:val="left" w:pos="-1440"/>
          <w:tab w:val="left" w:pos="-720"/>
        </w:tabs>
        <w:suppressAutoHyphens/>
        <w:ind w:right="-360"/>
        <w:rPr>
          <w:rFonts w:ascii="Bookman Old Style" w:hAnsi="Bookman Old Style"/>
        </w:rPr>
      </w:pPr>
    </w:p>
    <w:p w14:paraId="194773C2" w14:textId="0C2113E4" w:rsidR="00A37DC7" w:rsidRDefault="00A37DC7" w:rsidP="00A37DC7">
      <w:pPr>
        <w:tabs>
          <w:tab w:val="left" w:pos="-1440"/>
          <w:tab w:val="left" w:pos="-720"/>
        </w:tabs>
        <w:suppressAutoHyphens/>
        <w:ind w:right="-360"/>
        <w:rPr>
          <w:rFonts w:ascii="Bookman Old Style" w:hAnsi="Bookman Old Style"/>
        </w:rPr>
      </w:pPr>
      <w:r>
        <w:rPr>
          <w:rFonts w:ascii="Bookman Old Style" w:hAnsi="Bookman Old Style"/>
        </w:rPr>
        <w:t xml:space="preserve">This case turns on the sufficiency of the evidence. The employer’s representatives did not witness the claimant being rude to a resident’s family member or even talk to that family member themselves. </w:t>
      </w:r>
      <w:r w:rsidR="00424D53">
        <w:rPr>
          <w:rFonts w:ascii="Bookman Old Style" w:hAnsi="Bookman Old Style"/>
        </w:rPr>
        <w:t>The employer did not present business records showing what the claimant may have done.</w:t>
      </w:r>
      <w:r>
        <w:rPr>
          <w:rFonts w:ascii="Bookman Old Style" w:hAnsi="Bookman Old Style"/>
        </w:rPr>
        <w:t xml:space="preserve"> The claimant provided sworn testimony that she was not rude to the family member. As stated in </w:t>
      </w:r>
      <w:proofErr w:type="spellStart"/>
      <w:r w:rsidRPr="00AF5456">
        <w:rPr>
          <w:rFonts w:ascii="Bookman Old Style" w:hAnsi="Bookman Old Style"/>
          <w:u w:val="single"/>
        </w:rPr>
        <w:t>Rednal</w:t>
      </w:r>
      <w:proofErr w:type="spellEnd"/>
      <w:r w:rsidRPr="00AF5456">
        <w:rPr>
          <w:rFonts w:ascii="Bookman Old Style" w:hAnsi="Bookman Old Style"/>
        </w:rPr>
        <w:t xml:space="preserve"> above</w:t>
      </w:r>
      <w:r>
        <w:rPr>
          <w:rFonts w:ascii="Bookman Old Style" w:hAnsi="Bookman Old Style"/>
        </w:rPr>
        <w:t xml:space="preserve">, the employer had the burden to bring forth evidence of sufficient quality to establish that the claimant’s actions rose the level of misconduct. The employer has not met that burden. </w:t>
      </w:r>
    </w:p>
    <w:p w14:paraId="653094AB" w14:textId="77777777" w:rsidR="00A37DC7" w:rsidRDefault="00A37DC7" w:rsidP="00A37DC7">
      <w:pPr>
        <w:tabs>
          <w:tab w:val="left" w:pos="-1440"/>
          <w:tab w:val="left" w:pos="-720"/>
        </w:tabs>
        <w:suppressAutoHyphens/>
        <w:ind w:right="-360"/>
        <w:rPr>
          <w:rFonts w:ascii="Bookman Old Style" w:hAnsi="Bookman Old Style"/>
        </w:rPr>
      </w:pPr>
    </w:p>
    <w:p w14:paraId="379C8415" w14:textId="102B9AD4" w:rsidR="00EE4ED6" w:rsidRPr="00057A9B" w:rsidRDefault="00A37DC7" w:rsidP="00057A9B">
      <w:pPr>
        <w:tabs>
          <w:tab w:val="left" w:pos="-1440"/>
          <w:tab w:val="left" w:pos="-720"/>
        </w:tabs>
        <w:suppressAutoHyphens/>
        <w:ind w:right="-360"/>
        <w:rPr>
          <w:rFonts w:ascii="Bookman Old Style" w:hAnsi="Bookman Old Style"/>
        </w:rPr>
      </w:pPr>
      <w:r>
        <w:rPr>
          <w:rFonts w:ascii="Bookman Old Style" w:hAnsi="Bookman Old Style"/>
        </w:rPr>
        <w:t>The Tribunal does not dispute an employer’s right to discharge a claimant that does not meet its standards, however not all such discharge</w:t>
      </w:r>
      <w:r w:rsidR="00424D53">
        <w:rPr>
          <w:rFonts w:ascii="Bookman Old Style" w:hAnsi="Bookman Old Style"/>
        </w:rPr>
        <w:t>s</w:t>
      </w:r>
      <w:r>
        <w:rPr>
          <w:rFonts w:ascii="Bookman Old Style" w:hAnsi="Bookman Old Style"/>
        </w:rPr>
        <w:t xml:space="preserve"> are for misconduct.  </w:t>
      </w:r>
      <w:r>
        <w:rPr>
          <w:rFonts w:ascii="Bookman Old Style" w:hAnsi="Bookman Old Style"/>
        </w:rPr>
        <w:lastRenderedPageBreak/>
        <w:t>The Tribunal finds the claimant in this case was discharged for reason other than misconduct. The penalties of AS 23.20.379 are not appropriate.</w:t>
      </w:r>
    </w:p>
    <w:p w14:paraId="4F3141E7" w14:textId="77777777" w:rsidR="005A281D" w:rsidRPr="00E54541" w:rsidRDefault="005A281D" w:rsidP="00E54541">
      <w:pPr>
        <w:tabs>
          <w:tab w:val="left" w:pos="-1440"/>
          <w:tab w:val="left" w:pos="-720"/>
        </w:tabs>
        <w:rPr>
          <w:rFonts w:ascii="Bookman Old Style" w:hAnsi="Bookman Old Style"/>
          <w:szCs w:val="24"/>
        </w:rPr>
      </w:pPr>
    </w:p>
    <w:p w14:paraId="2FBA2445"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130E2D62" w14:textId="77777777" w:rsidR="005A281D" w:rsidRPr="00E54541" w:rsidRDefault="005A281D" w:rsidP="00E54541">
      <w:pPr>
        <w:tabs>
          <w:tab w:val="left" w:pos="-1440"/>
          <w:tab w:val="left" w:pos="-720"/>
        </w:tabs>
        <w:rPr>
          <w:rFonts w:ascii="Bookman Old Style" w:hAnsi="Bookman Old Style"/>
          <w:szCs w:val="24"/>
        </w:rPr>
      </w:pPr>
    </w:p>
    <w:p w14:paraId="21EFB290" w14:textId="4A986738"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057A9B">
        <w:rPr>
          <w:rFonts w:ascii="Bookman Old Style" w:hAnsi="Bookman Old Style"/>
          <w:szCs w:val="24"/>
        </w:rPr>
        <w:t xml:space="preserve">August 17, </w:t>
      </w:r>
      <w:proofErr w:type="gramStart"/>
      <w:r w:rsidR="00057A9B">
        <w:rPr>
          <w:rFonts w:ascii="Bookman Old Style" w:hAnsi="Bookman Old Style"/>
          <w:szCs w:val="24"/>
        </w:rPr>
        <w:t>2021</w:t>
      </w:r>
      <w:proofErr w:type="gramEnd"/>
      <w:r w:rsidRPr="00E1431E">
        <w:rPr>
          <w:rFonts w:ascii="Bookman Old Style" w:hAnsi="Bookman Old Style"/>
        </w:rPr>
        <w:t xml:space="preserve"> is </w:t>
      </w:r>
      <w:r w:rsidR="00057A9B">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057A9B">
        <w:rPr>
          <w:rFonts w:ascii="Bookman Old Style" w:hAnsi="Bookman Old Style"/>
          <w:szCs w:val="24"/>
        </w:rPr>
        <w:t xml:space="preserve">June 12, </w:t>
      </w:r>
      <w:proofErr w:type="gramStart"/>
      <w:r w:rsidR="00057A9B">
        <w:rPr>
          <w:rFonts w:ascii="Bookman Old Style" w:hAnsi="Bookman Old Style"/>
          <w:szCs w:val="24"/>
        </w:rPr>
        <w:t>2021</w:t>
      </w:r>
      <w:proofErr w:type="gramEnd"/>
      <w:r w:rsidR="00057A9B">
        <w:rPr>
          <w:rFonts w:ascii="Bookman Old Style" w:hAnsi="Bookman Old Style"/>
          <w:szCs w:val="24"/>
        </w:rPr>
        <w:t xml:space="preserve"> through July 17,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1C6BBE3E" w14:textId="77777777" w:rsidR="005A281D" w:rsidRPr="00E54541" w:rsidRDefault="005A281D" w:rsidP="00E54541">
      <w:pPr>
        <w:tabs>
          <w:tab w:val="left" w:pos="-1440"/>
          <w:tab w:val="left" w:pos="-720"/>
        </w:tabs>
        <w:rPr>
          <w:rFonts w:ascii="Bookman Old Style" w:hAnsi="Bookman Old Style"/>
          <w:szCs w:val="24"/>
        </w:rPr>
      </w:pPr>
    </w:p>
    <w:p w14:paraId="6C6E0F3C"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554B7246" w14:textId="77777777" w:rsidR="005A281D" w:rsidRPr="00E54541" w:rsidRDefault="005A281D" w:rsidP="00E54541">
      <w:pPr>
        <w:tabs>
          <w:tab w:val="left" w:pos="-1440"/>
          <w:tab w:val="left" w:pos="-720"/>
        </w:tabs>
        <w:rPr>
          <w:rFonts w:ascii="Bookman Old Style" w:hAnsi="Bookman Old Style"/>
          <w:szCs w:val="24"/>
        </w:rPr>
      </w:pPr>
    </w:p>
    <w:p w14:paraId="4A6BBC79"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22A4E04" w14:textId="77777777" w:rsidR="005A281D" w:rsidRPr="00E54541" w:rsidRDefault="005A281D" w:rsidP="00E54541">
      <w:pPr>
        <w:tabs>
          <w:tab w:val="left" w:pos="-1440"/>
          <w:tab w:val="left" w:pos="-720"/>
        </w:tabs>
        <w:rPr>
          <w:rFonts w:ascii="Bookman Old Style" w:hAnsi="Bookman Old Style"/>
          <w:szCs w:val="24"/>
        </w:rPr>
      </w:pPr>
    </w:p>
    <w:p w14:paraId="4BFFC40C" w14:textId="7F0C469F"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057A9B">
        <w:rPr>
          <w:rFonts w:ascii="Bookman Old Style" w:hAnsi="Bookman Old Style"/>
          <w:szCs w:val="24"/>
        </w:rPr>
        <w:t>February 24, 2022</w:t>
      </w:r>
      <w:r w:rsidR="005A281D" w:rsidRPr="00E54541">
        <w:rPr>
          <w:rFonts w:ascii="Bookman Old Style" w:hAnsi="Bookman Old Style"/>
          <w:szCs w:val="24"/>
        </w:rPr>
        <w:t>.</w:t>
      </w:r>
    </w:p>
    <w:p w14:paraId="2E10DCF9" w14:textId="77777777" w:rsidR="005A281D" w:rsidRPr="00E54541" w:rsidRDefault="005A281D" w:rsidP="00E54541">
      <w:pPr>
        <w:tabs>
          <w:tab w:val="left" w:pos="-1440"/>
          <w:tab w:val="left" w:pos="-720"/>
        </w:tabs>
        <w:rPr>
          <w:rFonts w:ascii="Bookman Old Style" w:hAnsi="Bookman Old Style"/>
          <w:szCs w:val="24"/>
        </w:rPr>
      </w:pPr>
    </w:p>
    <w:p w14:paraId="57FA036A"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2D61D3DF" w14:textId="77777777" w:rsidR="00F52BEA" w:rsidRPr="00E54541" w:rsidRDefault="00F52BEA" w:rsidP="00E54541">
      <w:pPr>
        <w:tabs>
          <w:tab w:val="left" w:pos="-1440"/>
          <w:tab w:val="left" w:pos="-720"/>
        </w:tabs>
        <w:rPr>
          <w:rFonts w:ascii="Bookman Old Style" w:hAnsi="Bookman Old Style"/>
          <w:szCs w:val="24"/>
        </w:rPr>
      </w:pPr>
    </w:p>
    <w:p w14:paraId="1D09EE1A" w14:textId="77777777" w:rsidR="00F52BEA" w:rsidRPr="00E54541" w:rsidRDefault="00F52BEA" w:rsidP="00E54541">
      <w:pPr>
        <w:tabs>
          <w:tab w:val="left" w:pos="-1440"/>
          <w:tab w:val="left" w:pos="-720"/>
        </w:tabs>
        <w:rPr>
          <w:rFonts w:ascii="Bookman Old Style" w:hAnsi="Bookman Old Style"/>
          <w:szCs w:val="24"/>
        </w:rPr>
      </w:pPr>
    </w:p>
    <w:p w14:paraId="210017FD" w14:textId="77777777" w:rsidR="00F52BEA" w:rsidRPr="00E54541" w:rsidRDefault="00F52BEA" w:rsidP="00E54541">
      <w:pPr>
        <w:tabs>
          <w:tab w:val="left" w:pos="-1440"/>
          <w:tab w:val="left" w:pos="-720"/>
        </w:tabs>
        <w:rPr>
          <w:rFonts w:ascii="Bookman Old Style" w:hAnsi="Bookman Old Style"/>
          <w:szCs w:val="24"/>
        </w:rPr>
      </w:pPr>
    </w:p>
    <w:p w14:paraId="1BA515C3" w14:textId="5D55E253"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057A9B">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27408CF1" w14:textId="77777777" w:rsidR="005A281D" w:rsidRPr="00E54541" w:rsidRDefault="005A281D" w:rsidP="00E54541">
      <w:pPr>
        <w:tabs>
          <w:tab w:val="left" w:pos="-1440"/>
          <w:tab w:val="left" w:pos="-720"/>
        </w:tabs>
        <w:rPr>
          <w:rFonts w:ascii="Bookman Old Style" w:hAnsi="Bookman Old Style"/>
          <w:szCs w:val="24"/>
        </w:rPr>
      </w:pPr>
    </w:p>
    <w:p w14:paraId="726BCEBE" w14:textId="77777777" w:rsidR="005A281D" w:rsidRPr="00E54541" w:rsidRDefault="005A281D" w:rsidP="00E54541">
      <w:pPr>
        <w:tabs>
          <w:tab w:val="left" w:pos="-1440"/>
          <w:tab w:val="left" w:pos="-720"/>
        </w:tabs>
        <w:rPr>
          <w:rFonts w:ascii="Bookman Old Style" w:hAnsi="Bookman Old Style"/>
          <w:szCs w:val="24"/>
        </w:rPr>
      </w:pPr>
    </w:p>
    <w:p w14:paraId="2CE73D05"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E944" w14:textId="77777777" w:rsidR="00033A5E" w:rsidRDefault="00033A5E">
      <w:pPr>
        <w:widowControl/>
        <w:spacing w:line="20" w:lineRule="exact"/>
      </w:pPr>
    </w:p>
  </w:endnote>
  <w:endnote w:type="continuationSeparator" w:id="0">
    <w:p w14:paraId="4DF93E8C" w14:textId="77777777" w:rsidR="00033A5E" w:rsidRDefault="00033A5E">
      <w:r>
        <w:t xml:space="preserve"> </w:t>
      </w:r>
    </w:p>
  </w:endnote>
  <w:endnote w:type="continuationNotice" w:id="1">
    <w:p w14:paraId="7A0AEF11" w14:textId="77777777" w:rsidR="00033A5E" w:rsidRDefault="00033A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0FFB" w14:textId="77777777" w:rsidR="00033A5E" w:rsidRDefault="00033A5E">
      <w:r>
        <w:separator/>
      </w:r>
    </w:p>
  </w:footnote>
  <w:footnote w:type="continuationSeparator" w:id="0">
    <w:p w14:paraId="039FE476" w14:textId="77777777" w:rsidR="00033A5E" w:rsidRDefault="0003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3501" w14:textId="6ED8E411"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5478ED">
      <w:rPr>
        <w:rFonts w:ascii="Bookman Old Style" w:hAnsi="Bookman Old Style"/>
      </w:rPr>
      <w:t>21 1707</w:t>
    </w:r>
  </w:p>
  <w:p w14:paraId="6E084C5D"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4F66864B"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A5E"/>
    <w:rsid w:val="00027F9D"/>
    <w:rsid w:val="00033A5E"/>
    <w:rsid w:val="000443B6"/>
    <w:rsid w:val="00057A9B"/>
    <w:rsid w:val="000D3B41"/>
    <w:rsid w:val="000E4D91"/>
    <w:rsid w:val="000F5712"/>
    <w:rsid w:val="00144FA4"/>
    <w:rsid w:val="0016631C"/>
    <w:rsid w:val="002A3C37"/>
    <w:rsid w:val="002B4A81"/>
    <w:rsid w:val="002B4C7B"/>
    <w:rsid w:val="002C42D3"/>
    <w:rsid w:val="002D5A94"/>
    <w:rsid w:val="003035BC"/>
    <w:rsid w:val="003115E0"/>
    <w:rsid w:val="0038170D"/>
    <w:rsid w:val="00382877"/>
    <w:rsid w:val="003A5235"/>
    <w:rsid w:val="003B709B"/>
    <w:rsid w:val="003C0ED2"/>
    <w:rsid w:val="003E7E91"/>
    <w:rsid w:val="003F05F1"/>
    <w:rsid w:val="00401987"/>
    <w:rsid w:val="00424D53"/>
    <w:rsid w:val="004449AA"/>
    <w:rsid w:val="0047053D"/>
    <w:rsid w:val="004758FD"/>
    <w:rsid w:val="004B0A1E"/>
    <w:rsid w:val="004C44C6"/>
    <w:rsid w:val="005478ED"/>
    <w:rsid w:val="00567B74"/>
    <w:rsid w:val="00581F65"/>
    <w:rsid w:val="00582406"/>
    <w:rsid w:val="005A281D"/>
    <w:rsid w:val="005A6135"/>
    <w:rsid w:val="00600E6C"/>
    <w:rsid w:val="00613F00"/>
    <w:rsid w:val="00661D7B"/>
    <w:rsid w:val="00762388"/>
    <w:rsid w:val="00774034"/>
    <w:rsid w:val="007D240A"/>
    <w:rsid w:val="00842043"/>
    <w:rsid w:val="008516EC"/>
    <w:rsid w:val="008B1CA2"/>
    <w:rsid w:val="008E5C2B"/>
    <w:rsid w:val="008F1497"/>
    <w:rsid w:val="008F3C72"/>
    <w:rsid w:val="009508B1"/>
    <w:rsid w:val="00A37DC7"/>
    <w:rsid w:val="00A53090"/>
    <w:rsid w:val="00AB368A"/>
    <w:rsid w:val="00B343ED"/>
    <w:rsid w:val="00B554BF"/>
    <w:rsid w:val="00C035D6"/>
    <w:rsid w:val="00C47467"/>
    <w:rsid w:val="00D025D4"/>
    <w:rsid w:val="00D6764C"/>
    <w:rsid w:val="00D829CE"/>
    <w:rsid w:val="00DD54FF"/>
    <w:rsid w:val="00E15DF9"/>
    <w:rsid w:val="00E20AA8"/>
    <w:rsid w:val="00E54541"/>
    <w:rsid w:val="00EA362A"/>
    <w:rsid w:val="00EB2462"/>
    <w:rsid w:val="00EC3E1C"/>
    <w:rsid w:val="00EE2933"/>
    <w:rsid w:val="00EE4ED6"/>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70BC368"/>
  <w15:chartTrackingRefBased/>
  <w15:docId w15:val="{BBB9733F-AB2D-4002-8ED0-EA844214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0</TotalTime>
  <Pages>5</Pages>
  <Words>1601</Words>
  <Characters>8313</Characters>
  <Application>Microsoft Office Word</Application>
  <DocSecurity>0</DocSecurity>
  <Lines>218</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2022-02-24T21:07:00Z</dcterms:created>
  <dcterms:modified xsi:type="dcterms:W3CDTF">2022-02-24T21:07:00Z</dcterms:modified>
</cp:coreProperties>
</file>