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EB45" w14:textId="6D79C42C" w:rsidR="005E6526" w:rsidRDefault="00EF1CBC" w:rsidP="005E6526">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69F325E2" wp14:editId="59B41AEC">
            <wp:simplePos x="0" y="0"/>
            <wp:positionH relativeFrom="column">
              <wp:posOffset>-769620</wp:posOffset>
            </wp:positionH>
            <wp:positionV relativeFrom="paragraph">
              <wp:posOffset>-286385</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2E8687D1" w14:textId="77777777" w:rsidR="005E6526" w:rsidRDefault="005E6526" w:rsidP="005E6526">
      <w:pPr>
        <w:pStyle w:val="Heading3"/>
        <w:widowControl/>
        <w:tabs>
          <w:tab w:val="center" w:pos="4680"/>
        </w:tabs>
        <w:suppressAutoHyphens/>
        <w:rPr>
          <w:rFonts w:ascii="Bookman Old Style" w:hAnsi="Bookman Old Style"/>
        </w:rPr>
      </w:pPr>
    </w:p>
    <w:p w14:paraId="7A1516EB" w14:textId="77777777" w:rsidR="005E6526" w:rsidRDefault="005E6526" w:rsidP="005E6526">
      <w:pPr>
        <w:pStyle w:val="Heading3"/>
        <w:widowControl/>
        <w:tabs>
          <w:tab w:val="center" w:pos="4680"/>
        </w:tabs>
        <w:suppressAutoHyphens/>
        <w:rPr>
          <w:rFonts w:ascii="Bookman Old Style" w:hAnsi="Bookman Old Style"/>
        </w:rPr>
      </w:pPr>
    </w:p>
    <w:p w14:paraId="161D25D7" w14:textId="77777777" w:rsidR="005E6526" w:rsidRDefault="005E6526" w:rsidP="005E6526">
      <w:pPr>
        <w:pStyle w:val="Heading3"/>
        <w:widowControl/>
        <w:tabs>
          <w:tab w:val="center" w:pos="4680"/>
        </w:tabs>
        <w:suppressAutoHyphens/>
        <w:rPr>
          <w:rFonts w:ascii="Bookman Old Style" w:hAnsi="Bookman Old Style"/>
        </w:rPr>
      </w:pPr>
    </w:p>
    <w:p w14:paraId="7741754E" w14:textId="77777777" w:rsidR="005E6526" w:rsidRDefault="005E6526" w:rsidP="005E6526">
      <w:pPr>
        <w:pStyle w:val="Heading3"/>
        <w:widowControl/>
        <w:tabs>
          <w:tab w:val="center" w:pos="4680"/>
        </w:tabs>
        <w:suppressAutoHyphens/>
        <w:rPr>
          <w:rFonts w:ascii="Bookman Old Style" w:hAnsi="Bookman Old Style"/>
        </w:rPr>
      </w:pPr>
    </w:p>
    <w:p w14:paraId="253E2720" w14:textId="77777777" w:rsidR="005E6526" w:rsidRDefault="005E6526" w:rsidP="005E6526">
      <w:pPr>
        <w:pStyle w:val="Heading3"/>
        <w:widowControl/>
        <w:tabs>
          <w:tab w:val="center" w:pos="4680"/>
        </w:tabs>
        <w:suppressAutoHyphens/>
        <w:rPr>
          <w:rFonts w:ascii="Bookman Old Style" w:hAnsi="Bookman Old Style"/>
        </w:rPr>
      </w:pPr>
    </w:p>
    <w:p w14:paraId="5C6FBEC8" w14:textId="77777777" w:rsidR="005E6526" w:rsidRDefault="005E6526" w:rsidP="005E6526">
      <w:pPr>
        <w:pStyle w:val="Heading3"/>
        <w:widowControl/>
        <w:tabs>
          <w:tab w:val="center" w:pos="4680"/>
        </w:tabs>
        <w:suppressAutoHyphens/>
        <w:rPr>
          <w:rFonts w:ascii="Bookman Old Style" w:hAnsi="Bookman Old Style"/>
        </w:rPr>
      </w:pPr>
    </w:p>
    <w:p w14:paraId="45F6D56C" w14:textId="77777777" w:rsidR="005E6526" w:rsidRDefault="005E6526" w:rsidP="005E6526">
      <w:pPr>
        <w:widowControl/>
        <w:tabs>
          <w:tab w:val="left" w:pos="-720"/>
        </w:tabs>
        <w:suppressAutoHyphens/>
        <w:rPr>
          <w:rFonts w:ascii="Bookman Old Style" w:hAnsi="Bookman Old Style"/>
        </w:rPr>
      </w:pPr>
    </w:p>
    <w:p w14:paraId="2966771D" w14:textId="77777777" w:rsidR="005A281D" w:rsidRPr="008D55FB" w:rsidRDefault="005A281D" w:rsidP="008D55FB">
      <w:pPr>
        <w:pStyle w:val="Heading3"/>
        <w:widowControl/>
        <w:tabs>
          <w:tab w:val="center" w:pos="4680"/>
        </w:tabs>
        <w:suppressAutoHyphens/>
        <w:rPr>
          <w:rFonts w:ascii="Bookman Old Style" w:hAnsi="Bookman Old Style"/>
          <w:szCs w:val="24"/>
        </w:rPr>
      </w:pPr>
      <w:r w:rsidRPr="008D55FB">
        <w:rPr>
          <w:rFonts w:ascii="Bookman Old Style" w:hAnsi="Bookman Old Style"/>
          <w:szCs w:val="24"/>
        </w:rPr>
        <w:t>APPEAL TRIBUNAL DECISION</w:t>
      </w:r>
    </w:p>
    <w:p w14:paraId="5AF45612" w14:textId="77777777" w:rsidR="005A281D" w:rsidRPr="008D55FB" w:rsidRDefault="005A281D" w:rsidP="008D55FB">
      <w:pPr>
        <w:widowControl/>
        <w:tabs>
          <w:tab w:val="left" w:pos="-720"/>
        </w:tabs>
        <w:suppressAutoHyphens/>
        <w:rPr>
          <w:rFonts w:ascii="Bookman Old Style" w:hAnsi="Bookman Old Style"/>
          <w:szCs w:val="24"/>
        </w:rPr>
      </w:pPr>
    </w:p>
    <w:p w14:paraId="6A96D5C4" w14:textId="325521F8" w:rsidR="005A281D" w:rsidRPr="008D55FB" w:rsidRDefault="005A281D" w:rsidP="008D55FB">
      <w:pPr>
        <w:widowControl/>
        <w:tabs>
          <w:tab w:val="center" w:pos="4680"/>
        </w:tabs>
        <w:suppressAutoHyphens/>
        <w:jc w:val="center"/>
        <w:outlineLvl w:val="0"/>
        <w:rPr>
          <w:rFonts w:ascii="Bookman Old Style" w:hAnsi="Bookman Old Style"/>
          <w:szCs w:val="24"/>
        </w:rPr>
      </w:pPr>
      <w:r w:rsidRPr="008D55FB">
        <w:rPr>
          <w:rFonts w:ascii="Bookman Old Style" w:hAnsi="Bookman Old Style"/>
          <w:b/>
          <w:szCs w:val="24"/>
        </w:rPr>
        <w:t xml:space="preserve">Docket </w:t>
      </w:r>
      <w:r w:rsidR="007062F0" w:rsidRPr="008D55FB">
        <w:rPr>
          <w:rFonts w:ascii="Bookman Old Style" w:hAnsi="Bookman Old Style"/>
          <w:b/>
          <w:szCs w:val="24"/>
        </w:rPr>
        <w:t>number:</w:t>
      </w:r>
      <w:r w:rsidRPr="008D55FB">
        <w:rPr>
          <w:rFonts w:ascii="Bookman Old Style" w:hAnsi="Bookman Old Style"/>
          <w:szCs w:val="24"/>
        </w:rPr>
        <w:t xml:space="preserve"> </w:t>
      </w:r>
      <w:r w:rsidR="00F31514">
        <w:rPr>
          <w:rFonts w:ascii="Bookman Old Style" w:hAnsi="Bookman Old Style"/>
          <w:szCs w:val="24"/>
        </w:rPr>
        <w:t>22 0506</w:t>
      </w:r>
      <w:r w:rsidRPr="008D55FB">
        <w:rPr>
          <w:rFonts w:ascii="Bookman Old Style" w:hAnsi="Bookman Old Style"/>
          <w:szCs w:val="24"/>
        </w:rPr>
        <w:t xml:space="preserve">  </w:t>
      </w:r>
      <w:r w:rsidRPr="008D55FB">
        <w:rPr>
          <w:rFonts w:ascii="Bookman Old Style" w:hAnsi="Bookman Old Style"/>
          <w:b/>
          <w:szCs w:val="24"/>
        </w:rPr>
        <w:t xml:space="preserve">Hearing </w:t>
      </w:r>
      <w:r w:rsidR="007062F0" w:rsidRPr="008D55FB">
        <w:rPr>
          <w:rFonts w:ascii="Bookman Old Style" w:hAnsi="Bookman Old Style"/>
          <w:b/>
          <w:szCs w:val="24"/>
        </w:rPr>
        <w:t>d</w:t>
      </w:r>
      <w:r w:rsidRPr="008D55FB">
        <w:rPr>
          <w:rFonts w:ascii="Bookman Old Style" w:hAnsi="Bookman Old Style"/>
          <w:b/>
          <w:szCs w:val="24"/>
        </w:rPr>
        <w:t>ate:</w:t>
      </w:r>
      <w:r w:rsidRPr="008D55FB">
        <w:rPr>
          <w:rFonts w:ascii="Bookman Old Style" w:hAnsi="Bookman Old Style"/>
          <w:szCs w:val="24"/>
        </w:rPr>
        <w:t xml:space="preserve"> </w:t>
      </w:r>
      <w:r w:rsidR="00F31514">
        <w:rPr>
          <w:rFonts w:ascii="Bookman Old Style" w:hAnsi="Bookman Old Style"/>
          <w:szCs w:val="24"/>
        </w:rPr>
        <w:t>July 21, 2022</w:t>
      </w:r>
    </w:p>
    <w:p w14:paraId="3793A941"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36D0EF6A" w14:textId="77777777" w:rsidR="005A281D" w:rsidRPr="008D55FB" w:rsidRDefault="005A281D" w:rsidP="008D55FB">
      <w:pPr>
        <w:widowControl/>
        <w:tabs>
          <w:tab w:val="left" w:pos="-1440"/>
          <w:tab w:val="left" w:pos="-720"/>
          <w:tab w:val="left" w:pos="0"/>
          <w:tab w:val="left" w:pos="5760"/>
        </w:tabs>
        <w:suppressAutoHyphens/>
        <w:ind w:right="-360"/>
        <w:outlineLvl w:val="0"/>
        <w:rPr>
          <w:rFonts w:ascii="Bookman Old Style" w:hAnsi="Bookman Old Style"/>
          <w:szCs w:val="24"/>
        </w:rPr>
      </w:pPr>
      <w:r w:rsidRPr="008D55FB">
        <w:rPr>
          <w:rFonts w:ascii="Bookman Old Style" w:hAnsi="Bookman Old Style"/>
          <w:b/>
          <w:szCs w:val="24"/>
        </w:rPr>
        <w:t>CLAIMANT:</w:t>
      </w:r>
    </w:p>
    <w:p w14:paraId="087D9652"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02474165" w14:textId="32D0D792" w:rsidR="00F31514" w:rsidRPr="00F31514" w:rsidRDefault="00F31514" w:rsidP="00F31514">
      <w:pPr>
        <w:widowControl/>
        <w:tabs>
          <w:tab w:val="left" w:pos="-1440"/>
          <w:tab w:val="left" w:pos="-720"/>
          <w:tab w:val="left" w:pos="0"/>
          <w:tab w:val="left" w:pos="5760"/>
        </w:tabs>
        <w:suppressAutoHyphens/>
        <w:ind w:right="-360"/>
        <w:rPr>
          <w:rFonts w:ascii="Bookman Old Style" w:hAnsi="Bookman Old Style"/>
          <w:szCs w:val="24"/>
        </w:rPr>
      </w:pPr>
      <w:r w:rsidRPr="00F31514">
        <w:rPr>
          <w:rFonts w:ascii="Bookman Old Style" w:hAnsi="Bookman Old Style"/>
          <w:szCs w:val="24"/>
        </w:rPr>
        <w:t>KYLE LEARY</w:t>
      </w:r>
    </w:p>
    <w:p w14:paraId="1DB2B333" w14:textId="20BD3F84" w:rsidR="005A281D"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173A7E80" w14:textId="3A13BC48" w:rsidR="00EF1CBC" w:rsidRDefault="00EF1CBC" w:rsidP="008D55FB">
      <w:pPr>
        <w:widowControl/>
        <w:tabs>
          <w:tab w:val="left" w:pos="-1440"/>
          <w:tab w:val="left" w:pos="-720"/>
          <w:tab w:val="left" w:pos="0"/>
          <w:tab w:val="left" w:pos="5760"/>
        </w:tabs>
        <w:suppressAutoHyphens/>
        <w:ind w:right="-360"/>
        <w:rPr>
          <w:rFonts w:ascii="Bookman Old Style" w:hAnsi="Bookman Old Style"/>
          <w:szCs w:val="24"/>
        </w:rPr>
      </w:pPr>
    </w:p>
    <w:p w14:paraId="222AF072" w14:textId="77777777" w:rsidR="00EF1CBC" w:rsidRPr="008D55FB" w:rsidRDefault="00EF1CBC" w:rsidP="008D55FB">
      <w:pPr>
        <w:widowControl/>
        <w:tabs>
          <w:tab w:val="left" w:pos="-1440"/>
          <w:tab w:val="left" w:pos="-720"/>
          <w:tab w:val="left" w:pos="0"/>
          <w:tab w:val="left" w:pos="5760"/>
        </w:tabs>
        <w:suppressAutoHyphens/>
        <w:ind w:right="-360"/>
        <w:rPr>
          <w:rFonts w:ascii="Bookman Old Style" w:hAnsi="Bookman Old Style"/>
          <w:szCs w:val="24"/>
        </w:rPr>
      </w:pPr>
    </w:p>
    <w:p w14:paraId="6B9162BF"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r w:rsidRPr="008D55FB">
        <w:rPr>
          <w:rFonts w:ascii="Bookman Old Style" w:hAnsi="Bookman Old Style"/>
          <w:b/>
          <w:szCs w:val="24"/>
        </w:rPr>
        <w:t>CLAIMANT APPEARANCES:</w:t>
      </w:r>
      <w:r w:rsidRPr="008D55FB">
        <w:rPr>
          <w:rFonts w:ascii="Bookman Old Style" w:hAnsi="Bookman Old Style"/>
          <w:b/>
          <w:szCs w:val="24"/>
        </w:rPr>
        <w:tab/>
      </w:r>
      <w:r w:rsidR="007062F0" w:rsidRPr="008D55FB">
        <w:rPr>
          <w:rFonts w:ascii="Bookman Old Style" w:hAnsi="Bookman Old Style"/>
          <w:b/>
          <w:szCs w:val="24"/>
        </w:rPr>
        <w:t>DETS</w:t>
      </w:r>
      <w:r w:rsidRPr="008D55FB">
        <w:rPr>
          <w:rFonts w:ascii="Bookman Old Style" w:hAnsi="Bookman Old Style"/>
          <w:b/>
          <w:szCs w:val="24"/>
        </w:rPr>
        <w:t xml:space="preserve"> APPEARANCES:</w:t>
      </w:r>
    </w:p>
    <w:p w14:paraId="43863492"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0E9B9032" w14:textId="17409978" w:rsidR="005A281D" w:rsidRPr="008D55FB" w:rsidRDefault="00F31514" w:rsidP="008D55FB">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Kyle Leary</w:t>
      </w:r>
      <w:r w:rsidR="005A281D" w:rsidRPr="008D55FB">
        <w:rPr>
          <w:rFonts w:ascii="Bookman Old Style" w:hAnsi="Bookman Old Style"/>
          <w:szCs w:val="24"/>
        </w:rPr>
        <w:tab/>
        <w:t>None</w:t>
      </w:r>
    </w:p>
    <w:p w14:paraId="334655F7" w14:textId="77777777" w:rsidR="005A281D" w:rsidRPr="008D55FB" w:rsidRDefault="005A281D" w:rsidP="008D55FB">
      <w:pPr>
        <w:widowControl/>
        <w:tabs>
          <w:tab w:val="left" w:pos="-1440"/>
          <w:tab w:val="left" w:pos="-720"/>
          <w:tab w:val="left" w:pos="0"/>
          <w:tab w:val="left" w:pos="5760"/>
        </w:tabs>
        <w:suppressAutoHyphens/>
        <w:ind w:right="-360"/>
        <w:rPr>
          <w:rFonts w:ascii="Bookman Old Style" w:hAnsi="Bookman Old Style"/>
          <w:szCs w:val="24"/>
        </w:rPr>
      </w:pPr>
    </w:p>
    <w:p w14:paraId="2C5CB641"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CASE HISTORY</w:t>
      </w:r>
    </w:p>
    <w:p w14:paraId="7BC8B290" w14:textId="77777777" w:rsidR="005A281D" w:rsidRPr="008D55FB" w:rsidRDefault="005A281D" w:rsidP="008D55FB">
      <w:pPr>
        <w:tabs>
          <w:tab w:val="left" w:pos="-1440"/>
          <w:tab w:val="left" w:pos="-720"/>
        </w:tabs>
        <w:rPr>
          <w:rFonts w:ascii="Bookman Old Style" w:hAnsi="Bookman Old Style"/>
          <w:szCs w:val="24"/>
        </w:rPr>
      </w:pPr>
    </w:p>
    <w:p w14:paraId="5D7749CA" w14:textId="417644F7" w:rsidR="004F13A3" w:rsidRPr="008D55FB" w:rsidRDefault="004F13A3" w:rsidP="008D55FB">
      <w:pPr>
        <w:rPr>
          <w:rFonts w:ascii="Bookman Old Style" w:hAnsi="Bookman Old Style"/>
          <w:szCs w:val="24"/>
        </w:rPr>
      </w:pPr>
      <w:r w:rsidRPr="008D55FB">
        <w:rPr>
          <w:rFonts w:ascii="Bookman Old Style" w:hAnsi="Bookman Old Style"/>
          <w:szCs w:val="24"/>
        </w:rPr>
        <w:t xml:space="preserve">The claimant timely appealed a </w:t>
      </w:r>
      <w:r w:rsidR="00F31514">
        <w:rPr>
          <w:rFonts w:ascii="Bookman Old Style" w:hAnsi="Bookman Old Style"/>
          <w:szCs w:val="24"/>
        </w:rPr>
        <w:t>May 6, 2022</w:t>
      </w:r>
      <w:r w:rsidRPr="008D55FB">
        <w:rPr>
          <w:rFonts w:ascii="Bookman Old Style" w:hAnsi="Bookman Old Style"/>
          <w:szCs w:val="24"/>
        </w:rPr>
        <w:t xml:space="preserve"> determination which denied benefits under AS 23.20.375. The issue before the Appeal Tribunal is whether the claimant met the filing requirements.</w:t>
      </w:r>
    </w:p>
    <w:p w14:paraId="4456BC33" w14:textId="77777777" w:rsidR="005A281D" w:rsidRPr="008D55FB" w:rsidRDefault="005A281D" w:rsidP="008D55FB">
      <w:pPr>
        <w:tabs>
          <w:tab w:val="left" w:pos="-1440"/>
          <w:tab w:val="left" w:pos="-720"/>
        </w:tabs>
        <w:rPr>
          <w:rFonts w:ascii="Bookman Old Style" w:hAnsi="Bookman Old Style"/>
          <w:szCs w:val="24"/>
        </w:rPr>
      </w:pPr>
    </w:p>
    <w:p w14:paraId="4E7EC6FE"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FINDINGS OF FACT</w:t>
      </w:r>
    </w:p>
    <w:p w14:paraId="70A4EFA3" w14:textId="77777777" w:rsidR="005A281D" w:rsidRPr="008D55FB" w:rsidRDefault="005A281D" w:rsidP="008D55FB">
      <w:pPr>
        <w:tabs>
          <w:tab w:val="left" w:pos="-1440"/>
          <w:tab w:val="left" w:pos="-720"/>
        </w:tabs>
        <w:rPr>
          <w:rFonts w:ascii="Bookman Old Style" w:hAnsi="Bookman Old Style"/>
          <w:szCs w:val="24"/>
        </w:rPr>
      </w:pPr>
    </w:p>
    <w:p w14:paraId="028A399A" w14:textId="7C7F629B" w:rsidR="004F13A3" w:rsidRDefault="004F13A3"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The claimant established a </w:t>
      </w:r>
      <w:r w:rsidR="00EE134A">
        <w:rPr>
          <w:rFonts w:ascii="Bookman Old Style" w:hAnsi="Bookman Old Style"/>
          <w:szCs w:val="24"/>
        </w:rPr>
        <w:t xml:space="preserve">new </w:t>
      </w:r>
      <w:r w:rsidRPr="008D55FB">
        <w:rPr>
          <w:rFonts w:ascii="Bookman Old Style" w:hAnsi="Bookman Old Style"/>
          <w:szCs w:val="24"/>
        </w:rPr>
        <w:t xml:space="preserve">claim for unemployment insurance benefits effective </w:t>
      </w:r>
      <w:r w:rsidR="00F31514">
        <w:rPr>
          <w:rFonts w:ascii="Bookman Old Style" w:hAnsi="Bookman Old Style"/>
          <w:szCs w:val="24"/>
        </w:rPr>
        <w:t>November 28, 2021</w:t>
      </w:r>
      <w:r w:rsidRPr="008D55FB">
        <w:rPr>
          <w:rFonts w:ascii="Bookman Old Style" w:hAnsi="Bookman Old Style"/>
          <w:szCs w:val="24"/>
        </w:rPr>
        <w:t>.</w:t>
      </w:r>
      <w:r w:rsidR="00F31514">
        <w:rPr>
          <w:rFonts w:ascii="Bookman Old Style" w:hAnsi="Bookman Old Style"/>
          <w:szCs w:val="24"/>
        </w:rPr>
        <w:t xml:space="preserve"> The claimant </w:t>
      </w:r>
      <w:r w:rsidR="00EE134A">
        <w:rPr>
          <w:rFonts w:ascii="Bookman Old Style" w:hAnsi="Bookman Old Style"/>
          <w:szCs w:val="24"/>
        </w:rPr>
        <w:t>established his claim</w:t>
      </w:r>
      <w:r w:rsidR="00F31514">
        <w:rPr>
          <w:rFonts w:ascii="Bookman Old Style" w:hAnsi="Bookman Old Style"/>
          <w:szCs w:val="24"/>
        </w:rPr>
        <w:t xml:space="preserve"> using the Division’s website application</w:t>
      </w:r>
      <w:r w:rsidR="00EE134A">
        <w:rPr>
          <w:rFonts w:ascii="Bookman Old Style" w:hAnsi="Bookman Old Style"/>
          <w:szCs w:val="24"/>
        </w:rPr>
        <w:t xml:space="preserve"> set up for that purpose</w:t>
      </w:r>
      <w:r w:rsidR="00F31514">
        <w:rPr>
          <w:rFonts w:ascii="Bookman Old Style" w:hAnsi="Bookman Old Style"/>
          <w:szCs w:val="24"/>
        </w:rPr>
        <w:t>. On December 10, 2021, the claimant filed a</w:t>
      </w:r>
      <w:r w:rsidRPr="008D55FB">
        <w:rPr>
          <w:rFonts w:ascii="Bookman Old Style" w:hAnsi="Bookman Old Style"/>
          <w:szCs w:val="24"/>
        </w:rPr>
        <w:t xml:space="preserve"> </w:t>
      </w:r>
      <w:r w:rsidR="00F31514">
        <w:rPr>
          <w:rFonts w:ascii="Bookman Old Style" w:hAnsi="Bookman Old Style"/>
          <w:szCs w:val="24"/>
        </w:rPr>
        <w:t xml:space="preserve">certification to claim benefits for the week ending </w:t>
      </w:r>
      <w:r w:rsidR="00EE134A">
        <w:rPr>
          <w:rFonts w:ascii="Bookman Old Style" w:hAnsi="Bookman Old Style"/>
          <w:szCs w:val="24"/>
        </w:rPr>
        <w:t xml:space="preserve">    </w:t>
      </w:r>
      <w:r w:rsidR="00F31514">
        <w:rPr>
          <w:rFonts w:ascii="Bookman Old Style" w:hAnsi="Bookman Old Style"/>
          <w:szCs w:val="24"/>
        </w:rPr>
        <w:t xml:space="preserve">December 4, 2021. The claimant was credited with the required “waiting week” for that week. </w:t>
      </w:r>
      <w:r w:rsidR="00653852">
        <w:rPr>
          <w:rFonts w:ascii="Bookman Old Style" w:hAnsi="Bookman Old Style"/>
          <w:szCs w:val="24"/>
        </w:rPr>
        <w:t xml:space="preserve">The claimant was not aware that he was required to </w:t>
      </w:r>
      <w:r w:rsidR="00BC6891">
        <w:rPr>
          <w:rFonts w:ascii="Bookman Old Style" w:hAnsi="Bookman Old Style"/>
          <w:szCs w:val="24"/>
        </w:rPr>
        <w:t xml:space="preserve">file weekly certifications </w:t>
      </w:r>
      <w:r w:rsidR="00EE134A">
        <w:rPr>
          <w:rFonts w:ascii="Bookman Old Style" w:hAnsi="Bookman Old Style"/>
          <w:szCs w:val="24"/>
        </w:rPr>
        <w:t xml:space="preserve">thereafter </w:t>
      </w:r>
      <w:r w:rsidR="00653852">
        <w:rPr>
          <w:rFonts w:ascii="Bookman Old Style" w:hAnsi="Bookman Old Style"/>
          <w:szCs w:val="24"/>
        </w:rPr>
        <w:t>to claim benefits</w:t>
      </w:r>
      <w:r w:rsidR="00BC6891">
        <w:rPr>
          <w:rFonts w:ascii="Bookman Old Style" w:hAnsi="Bookman Old Style"/>
          <w:szCs w:val="24"/>
        </w:rPr>
        <w:t xml:space="preserve">, </w:t>
      </w:r>
      <w:r w:rsidR="00EE134A">
        <w:rPr>
          <w:rFonts w:ascii="Bookman Old Style" w:hAnsi="Bookman Old Style"/>
          <w:szCs w:val="24"/>
        </w:rPr>
        <w:t>as he had not previously claimed</w:t>
      </w:r>
      <w:r w:rsidR="00BC6891">
        <w:rPr>
          <w:rFonts w:ascii="Bookman Old Style" w:hAnsi="Bookman Old Style"/>
          <w:szCs w:val="24"/>
        </w:rPr>
        <w:t xml:space="preserve"> unemployment </w:t>
      </w:r>
      <w:r w:rsidR="00EE134A">
        <w:rPr>
          <w:rFonts w:ascii="Bookman Old Style" w:hAnsi="Bookman Old Style"/>
          <w:szCs w:val="24"/>
        </w:rPr>
        <w:t>benefits</w:t>
      </w:r>
      <w:r w:rsidR="00BC6891">
        <w:rPr>
          <w:rFonts w:ascii="Bookman Old Style" w:hAnsi="Bookman Old Style"/>
          <w:szCs w:val="24"/>
        </w:rPr>
        <w:t>.</w:t>
      </w:r>
    </w:p>
    <w:p w14:paraId="4B2C2770" w14:textId="77F1C4AF" w:rsidR="00653852" w:rsidRDefault="00653852" w:rsidP="008D55FB">
      <w:pPr>
        <w:tabs>
          <w:tab w:val="left" w:pos="-1440"/>
          <w:tab w:val="left" w:pos="-720"/>
        </w:tabs>
        <w:rPr>
          <w:rFonts w:ascii="Bookman Old Style" w:hAnsi="Bookman Old Style"/>
          <w:szCs w:val="24"/>
        </w:rPr>
      </w:pPr>
    </w:p>
    <w:p w14:paraId="355019DA" w14:textId="577EEE8E" w:rsidR="001E26C1" w:rsidRDefault="00653852" w:rsidP="008D55FB">
      <w:pPr>
        <w:tabs>
          <w:tab w:val="left" w:pos="-1440"/>
          <w:tab w:val="left" w:pos="-720"/>
        </w:tabs>
        <w:rPr>
          <w:rFonts w:ascii="Bookman Old Style" w:hAnsi="Bookman Old Style"/>
          <w:szCs w:val="24"/>
        </w:rPr>
      </w:pPr>
      <w:r>
        <w:rPr>
          <w:rFonts w:ascii="Bookman Old Style" w:hAnsi="Bookman Old Style"/>
          <w:szCs w:val="24"/>
        </w:rPr>
        <w:t xml:space="preserve">The Division’s records indicate that the claimant was mailed an Unemployment </w:t>
      </w:r>
      <w:r w:rsidR="00EE134A">
        <w:rPr>
          <w:rFonts w:ascii="Bookman Old Style" w:hAnsi="Bookman Old Style"/>
          <w:szCs w:val="24"/>
        </w:rPr>
        <w:t xml:space="preserve">Insurance </w:t>
      </w:r>
      <w:r>
        <w:rPr>
          <w:rFonts w:ascii="Bookman Old Style" w:hAnsi="Bookman Old Style"/>
          <w:szCs w:val="24"/>
        </w:rPr>
        <w:t xml:space="preserve">Claimant Handbook on December 1, 2021. The claimant did not </w:t>
      </w:r>
      <w:r w:rsidR="00EE134A">
        <w:rPr>
          <w:rFonts w:ascii="Bookman Old Style" w:hAnsi="Bookman Old Style"/>
          <w:szCs w:val="24"/>
        </w:rPr>
        <w:t xml:space="preserve">initially </w:t>
      </w:r>
      <w:r>
        <w:rPr>
          <w:rFonts w:ascii="Bookman Old Style" w:hAnsi="Bookman Old Style"/>
          <w:szCs w:val="24"/>
        </w:rPr>
        <w:t xml:space="preserve">receive the </w:t>
      </w:r>
      <w:r w:rsidR="00EE134A">
        <w:rPr>
          <w:rFonts w:ascii="Bookman Old Style" w:hAnsi="Bookman Old Style"/>
          <w:szCs w:val="24"/>
        </w:rPr>
        <w:t>H</w:t>
      </w:r>
      <w:r>
        <w:rPr>
          <w:rFonts w:ascii="Bookman Old Style" w:hAnsi="Bookman Old Style"/>
          <w:szCs w:val="24"/>
        </w:rPr>
        <w:t>andbook, or any notices from the Division, because he had lost his mailbox key</w:t>
      </w:r>
      <w:r w:rsidR="00BC6891">
        <w:rPr>
          <w:rFonts w:ascii="Bookman Old Style" w:hAnsi="Bookman Old Style"/>
          <w:szCs w:val="24"/>
        </w:rPr>
        <w:t xml:space="preserve"> and was delayed in getting a new key. The claimant did not contact the Division by phone or check to the Division’s website to confirm he had filed correctly.  </w:t>
      </w:r>
      <w:r w:rsidR="00EE134A">
        <w:rPr>
          <w:rFonts w:ascii="Bookman Old Style" w:hAnsi="Bookman Old Style"/>
          <w:szCs w:val="24"/>
        </w:rPr>
        <w:t>The claimant</w:t>
      </w:r>
      <w:r w:rsidR="00BC6891">
        <w:rPr>
          <w:rFonts w:ascii="Bookman Old Style" w:hAnsi="Bookman Old Style"/>
          <w:szCs w:val="24"/>
        </w:rPr>
        <w:t xml:space="preserve"> </w:t>
      </w:r>
      <w:r w:rsidR="00EE134A">
        <w:rPr>
          <w:rFonts w:ascii="Bookman Old Style" w:hAnsi="Bookman Old Style"/>
          <w:szCs w:val="24"/>
        </w:rPr>
        <w:t xml:space="preserve">believed that his unemployment benefits were being deposited to his bank account, but he </w:t>
      </w:r>
      <w:r w:rsidR="00BC6891">
        <w:rPr>
          <w:rFonts w:ascii="Bookman Old Style" w:hAnsi="Bookman Old Style"/>
          <w:szCs w:val="24"/>
        </w:rPr>
        <w:t xml:space="preserve">did not check his bank statements because he was not concerned about his finances at the time.  </w:t>
      </w:r>
    </w:p>
    <w:p w14:paraId="61522114" w14:textId="34D83D68" w:rsidR="001E26C1" w:rsidRDefault="001E26C1" w:rsidP="008D55FB">
      <w:pPr>
        <w:tabs>
          <w:tab w:val="left" w:pos="-1440"/>
          <w:tab w:val="left" w:pos="-720"/>
        </w:tabs>
        <w:rPr>
          <w:rFonts w:ascii="Bookman Old Style" w:hAnsi="Bookman Old Style"/>
          <w:szCs w:val="24"/>
        </w:rPr>
      </w:pPr>
      <w:r>
        <w:rPr>
          <w:rFonts w:ascii="Bookman Old Style" w:hAnsi="Bookman Old Style"/>
          <w:szCs w:val="24"/>
        </w:rPr>
        <w:lastRenderedPageBreak/>
        <w:t>The Tribunal takes official notice that the Division’s Unemployment Insurance Claimant Handbook advises claimants of the requirements to claiming benefits</w:t>
      </w:r>
      <w:r w:rsidR="00CD2B58">
        <w:rPr>
          <w:rFonts w:ascii="Bookman Old Style" w:hAnsi="Bookman Old Style"/>
          <w:szCs w:val="24"/>
        </w:rPr>
        <w:t xml:space="preserve"> </w:t>
      </w:r>
      <w:r>
        <w:rPr>
          <w:rFonts w:ascii="Bookman Old Style" w:hAnsi="Bookman Old Style"/>
          <w:szCs w:val="24"/>
        </w:rPr>
        <w:t xml:space="preserve">under the heading </w:t>
      </w:r>
      <w:r w:rsidR="0040291B">
        <w:rPr>
          <w:rFonts w:ascii="Bookman Old Style" w:hAnsi="Bookman Old Style"/>
          <w:szCs w:val="24"/>
        </w:rPr>
        <w:t>“</w:t>
      </w:r>
      <w:r>
        <w:rPr>
          <w:rFonts w:ascii="Bookman Old Style" w:hAnsi="Bookman Old Style"/>
          <w:szCs w:val="24"/>
        </w:rPr>
        <w:t xml:space="preserve">Filing Biweekly </w:t>
      </w:r>
      <w:r w:rsidR="00CD2B58">
        <w:rPr>
          <w:rFonts w:ascii="Bookman Old Style" w:hAnsi="Bookman Old Style"/>
          <w:szCs w:val="24"/>
        </w:rPr>
        <w:t>Claims</w:t>
      </w:r>
      <w:r w:rsidR="00BA7D6C">
        <w:rPr>
          <w:rFonts w:ascii="Bookman Old Style" w:hAnsi="Bookman Old Style"/>
          <w:szCs w:val="24"/>
        </w:rPr>
        <w:t>:</w:t>
      </w:r>
      <w:r w:rsidR="0040291B">
        <w:rPr>
          <w:rFonts w:ascii="Bookman Old Style" w:hAnsi="Bookman Old Style"/>
          <w:szCs w:val="24"/>
        </w:rPr>
        <w:t>”</w:t>
      </w:r>
    </w:p>
    <w:p w14:paraId="2B71DE30" w14:textId="4A65A596" w:rsidR="001E26C1" w:rsidRDefault="001E26C1" w:rsidP="008D55FB">
      <w:pPr>
        <w:tabs>
          <w:tab w:val="left" w:pos="-1440"/>
          <w:tab w:val="left" w:pos="-720"/>
        </w:tabs>
        <w:rPr>
          <w:rFonts w:ascii="Bookman Old Style" w:hAnsi="Bookman Old Style"/>
          <w:szCs w:val="24"/>
        </w:rPr>
      </w:pPr>
    </w:p>
    <w:p w14:paraId="4BAB983E" w14:textId="07009D04" w:rsidR="00CD2B58" w:rsidRPr="00CD2B58" w:rsidRDefault="0040291B" w:rsidP="00CD2B58">
      <w:pPr>
        <w:tabs>
          <w:tab w:val="left" w:pos="-1440"/>
          <w:tab w:val="left" w:pos="-720"/>
        </w:tabs>
        <w:ind w:left="720"/>
        <w:rPr>
          <w:rFonts w:ascii="Bookman Old Style" w:hAnsi="Bookman Old Style"/>
          <w:i/>
          <w:iCs/>
          <w:szCs w:val="24"/>
        </w:rPr>
      </w:pPr>
      <w:r>
        <w:rPr>
          <w:rFonts w:ascii="Bookman Old Style" w:hAnsi="Bookman Old Style"/>
          <w:i/>
          <w:iCs/>
          <w:szCs w:val="24"/>
        </w:rPr>
        <w:t>“</w:t>
      </w:r>
      <w:r w:rsidR="00CD2B58" w:rsidRPr="00CD2B58">
        <w:rPr>
          <w:rFonts w:ascii="Bookman Old Style" w:hAnsi="Bookman Old Style"/>
          <w:i/>
          <w:iCs/>
          <w:szCs w:val="24"/>
        </w:rPr>
        <w:t>When you open a new claim or reopen an existing claim, you will be given dates for when to file your weekly claim. You must file every week or two to keep your claim active and to receive benefits. Weeks that are filed late may be disqualified.</w:t>
      </w:r>
    </w:p>
    <w:p w14:paraId="79D6802E" w14:textId="77777777" w:rsidR="00CD2B58" w:rsidRPr="00CD2B58" w:rsidRDefault="00CD2B58" w:rsidP="00CD2B58">
      <w:pPr>
        <w:tabs>
          <w:tab w:val="left" w:pos="-1440"/>
          <w:tab w:val="left" w:pos="-720"/>
        </w:tabs>
        <w:ind w:left="720"/>
        <w:rPr>
          <w:rFonts w:ascii="Bookman Old Style" w:hAnsi="Bookman Old Style"/>
          <w:i/>
          <w:iCs/>
          <w:szCs w:val="24"/>
        </w:rPr>
      </w:pPr>
    </w:p>
    <w:p w14:paraId="10FC5BC4" w14:textId="35005AE0" w:rsidR="00CD2B58" w:rsidRPr="00CD2B58" w:rsidRDefault="00CD2B58" w:rsidP="00CD2B58">
      <w:pPr>
        <w:tabs>
          <w:tab w:val="left" w:pos="-1440"/>
          <w:tab w:val="left" w:pos="-720"/>
        </w:tabs>
        <w:ind w:left="720"/>
        <w:rPr>
          <w:rFonts w:ascii="Bookman Old Style" w:hAnsi="Bookman Old Style"/>
          <w:i/>
          <w:iCs/>
          <w:szCs w:val="24"/>
        </w:rPr>
      </w:pPr>
      <w:r w:rsidRPr="00CD2B58">
        <w:rPr>
          <w:rFonts w:ascii="Bookman Old Style" w:hAnsi="Bookman Old Style"/>
          <w:i/>
          <w:iCs/>
          <w:szCs w:val="24"/>
        </w:rPr>
        <w:t>The first eligible week of a new claim is a "waiting week." You do not receive payment for this week.</w:t>
      </w:r>
    </w:p>
    <w:p w14:paraId="69AB0815" w14:textId="77777777" w:rsidR="00CD2B58" w:rsidRPr="00CD2B58" w:rsidRDefault="00CD2B58" w:rsidP="00CD2B58">
      <w:pPr>
        <w:tabs>
          <w:tab w:val="left" w:pos="-1440"/>
          <w:tab w:val="left" w:pos="-720"/>
        </w:tabs>
        <w:ind w:left="720"/>
        <w:rPr>
          <w:rFonts w:ascii="Bookman Old Style" w:hAnsi="Bookman Old Style"/>
          <w:i/>
          <w:iCs/>
          <w:szCs w:val="24"/>
        </w:rPr>
      </w:pPr>
    </w:p>
    <w:p w14:paraId="6B15D0E0" w14:textId="765B8AC7" w:rsidR="00BC6891" w:rsidRPr="00CD2B58" w:rsidRDefault="00CD2B58" w:rsidP="00CD2B58">
      <w:pPr>
        <w:tabs>
          <w:tab w:val="left" w:pos="-1440"/>
          <w:tab w:val="left" w:pos="-720"/>
        </w:tabs>
        <w:ind w:left="720"/>
        <w:rPr>
          <w:rFonts w:ascii="Bookman Old Style" w:hAnsi="Bookman Old Style"/>
          <w:i/>
          <w:iCs/>
          <w:snapToGrid/>
        </w:rPr>
      </w:pPr>
      <w:r w:rsidRPr="00CD2B58">
        <w:rPr>
          <w:rFonts w:ascii="Bookman Old Style" w:hAnsi="Bookman Old Style"/>
          <w:i/>
          <w:iCs/>
          <w:szCs w:val="24"/>
        </w:rPr>
        <w:t>You must file to get credit for the week and meet the same requirements as any othe</w:t>
      </w:r>
      <w:r w:rsidRPr="00CD2B58">
        <w:rPr>
          <w:rFonts w:ascii="Bookman Old Style" w:hAnsi="Bookman Old Style"/>
          <w:i/>
          <w:iCs/>
          <w:snapToGrid/>
        </w:rPr>
        <w:t>r week</w:t>
      </w:r>
      <w:r w:rsidR="0040291B">
        <w:rPr>
          <w:rFonts w:ascii="Bookman Old Style" w:hAnsi="Bookman Old Style"/>
          <w:i/>
          <w:iCs/>
          <w:snapToGrid/>
        </w:rPr>
        <w:t>.”</w:t>
      </w:r>
    </w:p>
    <w:p w14:paraId="073872E5" w14:textId="4ED00AF5" w:rsidR="00CD2B58" w:rsidRDefault="00CD2B58" w:rsidP="00CD2B58">
      <w:pPr>
        <w:tabs>
          <w:tab w:val="left" w:pos="-1440"/>
          <w:tab w:val="left" w:pos="-720"/>
        </w:tabs>
        <w:rPr>
          <w:rFonts w:ascii="Bookman Old Style" w:hAnsi="Bookman Old Style"/>
          <w:szCs w:val="24"/>
        </w:rPr>
      </w:pPr>
    </w:p>
    <w:p w14:paraId="1E412B34" w14:textId="5627FD6D" w:rsidR="00BA7D6C" w:rsidRDefault="00BA7D6C" w:rsidP="00CD2B58">
      <w:pPr>
        <w:tabs>
          <w:tab w:val="left" w:pos="-1440"/>
          <w:tab w:val="left" w:pos="-720"/>
        </w:tabs>
        <w:rPr>
          <w:rFonts w:ascii="Bookman Old Style" w:hAnsi="Bookman Old Style"/>
          <w:szCs w:val="24"/>
        </w:rPr>
      </w:pPr>
      <w:r>
        <w:rPr>
          <w:rFonts w:ascii="Bookman Old Style" w:hAnsi="Bookman Old Style"/>
          <w:szCs w:val="24"/>
        </w:rPr>
        <w:t xml:space="preserve">The Tribunal further notes the Handbook is posted on the Division’s public website. </w:t>
      </w:r>
    </w:p>
    <w:p w14:paraId="1228E320" w14:textId="77777777" w:rsidR="00BA7D6C" w:rsidRPr="00CD2B58" w:rsidRDefault="00BA7D6C" w:rsidP="00CD2B58">
      <w:pPr>
        <w:tabs>
          <w:tab w:val="left" w:pos="-1440"/>
          <w:tab w:val="left" w:pos="-720"/>
        </w:tabs>
        <w:rPr>
          <w:rFonts w:ascii="Bookman Old Style" w:hAnsi="Bookman Old Style"/>
          <w:szCs w:val="24"/>
        </w:rPr>
      </w:pPr>
    </w:p>
    <w:p w14:paraId="3FB4C595" w14:textId="4FDAEEC6" w:rsidR="00BC6891" w:rsidRPr="008D55FB" w:rsidRDefault="00BC6891" w:rsidP="008D55FB">
      <w:pPr>
        <w:tabs>
          <w:tab w:val="left" w:pos="-1440"/>
          <w:tab w:val="left" w:pos="-720"/>
        </w:tabs>
        <w:rPr>
          <w:rFonts w:ascii="Bookman Old Style" w:hAnsi="Bookman Old Style"/>
          <w:szCs w:val="24"/>
        </w:rPr>
      </w:pPr>
      <w:r w:rsidRPr="00CD2B58">
        <w:rPr>
          <w:rFonts w:ascii="Bookman Old Style" w:hAnsi="Bookman Old Style"/>
          <w:szCs w:val="24"/>
        </w:rPr>
        <w:t>In May 20</w:t>
      </w:r>
      <w:r>
        <w:rPr>
          <w:rFonts w:ascii="Bookman Old Style" w:hAnsi="Bookman Old Style"/>
          <w:szCs w:val="24"/>
        </w:rPr>
        <w:t xml:space="preserve">22, the claimant checked his bank statements and noted there had been no deposits of unemployment benefits. The claimant called the Division on May </w:t>
      </w:r>
      <w:r w:rsidR="00E10DA5">
        <w:rPr>
          <w:rFonts w:ascii="Bookman Old Style" w:hAnsi="Bookman Old Style"/>
          <w:szCs w:val="24"/>
        </w:rPr>
        <w:t xml:space="preserve">6, 2022 to ask why he had not received benefits and he was advised </w:t>
      </w:r>
      <w:r w:rsidR="00BA7D6C">
        <w:rPr>
          <w:rFonts w:ascii="Bookman Old Style" w:hAnsi="Bookman Old Style"/>
          <w:szCs w:val="24"/>
        </w:rPr>
        <w:t xml:space="preserve">it was because </w:t>
      </w:r>
      <w:r w:rsidR="00E10DA5">
        <w:rPr>
          <w:rFonts w:ascii="Bookman Old Style" w:hAnsi="Bookman Old Style"/>
          <w:szCs w:val="24"/>
        </w:rPr>
        <w:t xml:space="preserve">he had not filed weekly certifications </w:t>
      </w:r>
      <w:r w:rsidR="00BA7D6C">
        <w:rPr>
          <w:rFonts w:ascii="Bookman Old Style" w:hAnsi="Bookman Old Style"/>
          <w:szCs w:val="24"/>
        </w:rPr>
        <w:t>after</w:t>
      </w:r>
      <w:r w:rsidR="00E10DA5">
        <w:rPr>
          <w:rFonts w:ascii="Bookman Old Style" w:hAnsi="Bookman Old Style"/>
          <w:szCs w:val="24"/>
        </w:rPr>
        <w:t xml:space="preserve"> the first week of his claim</w:t>
      </w:r>
      <w:r w:rsidR="001E26C1">
        <w:rPr>
          <w:rFonts w:ascii="Bookman Old Style" w:hAnsi="Bookman Old Style"/>
          <w:szCs w:val="24"/>
        </w:rPr>
        <w:t>. The claimant request</w:t>
      </w:r>
      <w:r w:rsidR="0040291B">
        <w:rPr>
          <w:rFonts w:ascii="Bookman Old Style" w:hAnsi="Bookman Old Style"/>
          <w:szCs w:val="24"/>
        </w:rPr>
        <w:t>ed</w:t>
      </w:r>
      <w:r w:rsidR="001E26C1">
        <w:rPr>
          <w:rFonts w:ascii="Bookman Old Style" w:hAnsi="Bookman Old Style"/>
          <w:szCs w:val="24"/>
        </w:rPr>
        <w:t xml:space="preserve"> to file certifications for weeks ending </w:t>
      </w:r>
      <w:r w:rsidR="00BA7D6C">
        <w:rPr>
          <w:rFonts w:ascii="Bookman Old Style" w:hAnsi="Bookman Old Style"/>
          <w:szCs w:val="24"/>
        </w:rPr>
        <w:t xml:space="preserve">    </w:t>
      </w:r>
      <w:r w:rsidR="001E26C1">
        <w:rPr>
          <w:rFonts w:ascii="Bookman Old Style" w:hAnsi="Bookman Old Style"/>
          <w:szCs w:val="24"/>
        </w:rPr>
        <w:t>December 11, 2021 through February 19, 2022. The Division denied the claimant’s benefits for those weeks because the certifications were filed after the period allowed.</w:t>
      </w:r>
    </w:p>
    <w:p w14:paraId="59BD7BD6" w14:textId="77777777" w:rsidR="005A281D" w:rsidRPr="008D55FB" w:rsidRDefault="005A281D" w:rsidP="008D55FB">
      <w:pPr>
        <w:tabs>
          <w:tab w:val="left" w:pos="-1440"/>
          <w:tab w:val="left" w:pos="-720"/>
        </w:tabs>
        <w:rPr>
          <w:rFonts w:ascii="Bookman Old Style" w:hAnsi="Bookman Old Style"/>
          <w:szCs w:val="24"/>
        </w:rPr>
      </w:pPr>
    </w:p>
    <w:p w14:paraId="5544AA3B"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PROVISIONS OF LAW</w:t>
      </w:r>
    </w:p>
    <w:p w14:paraId="464380C2" w14:textId="77777777" w:rsidR="005A281D" w:rsidRPr="008D55FB" w:rsidRDefault="005A281D" w:rsidP="008D55FB">
      <w:pPr>
        <w:tabs>
          <w:tab w:val="left" w:pos="-1440"/>
          <w:tab w:val="left" w:pos="-720"/>
        </w:tabs>
        <w:rPr>
          <w:rFonts w:ascii="Bookman Old Style" w:hAnsi="Bookman Old Style"/>
          <w:szCs w:val="24"/>
        </w:rPr>
      </w:pPr>
    </w:p>
    <w:p w14:paraId="26AF7ED3" w14:textId="77777777" w:rsidR="004F13A3" w:rsidRPr="008D55FB" w:rsidRDefault="004F13A3" w:rsidP="008D55FB">
      <w:pPr>
        <w:pStyle w:val="NormalWeb"/>
        <w:rPr>
          <w:rFonts w:ascii="Bookman Old Style" w:hAnsi="Bookman Old Style"/>
          <w:b/>
        </w:rPr>
      </w:pPr>
      <w:r w:rsidRPr="008D55FB">
        <w:rPr>
          <w:rFonts w:ascii="Bookman Old Style" w:hAnsi="Bookman Old Style"/>
          <w:b/>
        </w:rPr>
        <w:t>AS 23.20.375. Filing requirements</w:t>
      </w:r>
    </w:p>
    <w:p w14:paraId="35A13128" w14:textId="77777777" w:rsidR="004F13A3" w:rsidRPr="008D55FB" w:rsidRDefault="004F13A3" w:rsidP="008D55FB">
      <w:pPr>
        <w:pStyle w:val="NormalWeb"/>
        <w:rPr>
          <w:rFonts w:ascii="Bookman Old Style" w:hAnsi="Bookman Old Style"/>
        </w:rPr>
      </w:pPr>
      <w:r w:rsidRPr="008D55FB">
        <w:rPr>
          <w:rFonts w:ascii="Bookman Old Style" w:hAnsi="Bookman Old Style"/>
        </w:rPr>
        <w:t xml:space="preserve">(a) An insured worker is entitled to receive waiting-week credit or benefits for a week of unemployment for which the insured worker has not been disqualified under </w:t>
      </w:r>
      <w:r w:rsidRPr="00EB781A">
        <w:rPr>
          <w:rFonts w:ascii="Bookman Old Style" w:hAnsi="Bookman Old Style"/>
        </w:rPr>
        <w:t>AS 23.20.360</w:t>
      </w:r>
      <w:r w:rsidRPr="008D55FB">
        <w:rPr>
          <w:rFonts w:ascii="Bookman Old Style" w:hAnsi="Bookman Old Style"/>
        </w:rPr>
        <w:t>, 23.20.362, 23.20.378 - 23.20.387, or 23.20.505 if, in accordance with regulations adopted by the department, the insured worker has</w:t>
      </w:r>
    </w:p>
    <w:p w14:paraId="03E79078" w14:textId="4BD45DC6" w:rsidR="004F13A3" w:rsidRPr="008D55FB" w:rsidRDefault="00EF1CBC" w:rsidP="008D55FB">
      <w:pPr>
        <w:pStyle w:val="NormalWeb"/>
        <w:tabs>
          <w:tab w:val="left" w:pos="1170"/>
        </w:tabs>
        <w:rPr>
          <w:rFonts w:ascii="Bookman Old Style" w:hAnsi="Bookman Old Style"/>
        </w:rPr>
      </w:pPr>
      <w:r w:rsidRPr="008D55FB">
        <w:rPr>
          <w:rFonts w:ascii="Bookman Old Style" w:hAnsi="Bookman Old Style"/>
          <w:noProof/>
        </w:rPr>
        <w:drawing>
          <wp:inline distT="0" distB="0" distL="0" distR="0" wp14:anchorId="76533803" wp14:editId="59BD3CDA">
            <wp:extent cx="285750" cy="9525"/>
            <wp:effectExtent l="0" t="0" r="0" b="0"/>
            <wp:docPr id="1" name="Picture 3" descr="http://www.legis.state.ak.us/sdimages/t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egis.state.ak.us/sdimages/tab.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4F13A3" w:rsidRPr="008D55FB">
        <w:rPr>
          <w:rFonts w:ascii="Bookman Old Style" w:hAnsi="Bookman Old Style"/>
        </w:rPr>
        <w:t xml:space="preserve">(1) </w:t>
      </w:r>
      <w:r w:rsidR="004F13A3" w:rsidRPr="008D55FB">
        <w:rPr>
          <w:rFonts w:ascii="Bookman Old Style" w:hAnsi="Bookman Old Style"/>
        </w:rPr>
        <w:tab/>
        <w:t>made an initial claim for benefits; and</w:t>
      </w:r>
    </w:p>
    <w:p w14:paraId="79F01FF7" w14:textId="1818B943" w:rsidR="008D55FB" w:rsidRPr="008D55FB" w:rsidRDefault="00EF1CBC" w:rsidP="00BA7D6C">
      <w:pPr>
        <w:pStyle w:val="NormalWeb"/>
        <w:tabs>
          <w:tab w:val="left" w:pos="1170"/>
        </w:tabs>
        <w:ind w:left="1170" w:hanging="1170"/>
        <w:rPr>
          <w:rFonts w:ascii="Bookman Old Style" w:hAnsi="Bookman Old Style"/>
        </w:rPr>
      </w:pPr>
      <w:r w:rsidRPr="008D55FB">
        <w:rPr>
          <w:rFonts w:ascii="Bookman Old Style" w:hAnsi="Bookman Old Style"/>
          <w:noProof/>
        </w:rPr>
        <w:drawing>
          <wp:inline distT="0" distB="0" distL="0" distR="0" wp14:anchorId="7198D1A9" wp14:editId="5B16E33E">
            <wp:extent cx="285750"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 cy="9525"/>
                    </a:xfrm>
                    <a:prstGeom prst="rect">
                      <a:avLst/>
                    </a:prstGeom>
                    <a:noFill/>
                    <a:ln>
                      <a:noFill/>
                    </a:ln>
                  </pic:spPr>
                </pic:pic>
              </a:graphicData>
            </a:graphic>
          </wp:inline>
        </w:drawing>
      </w:r>
      <w:r w:rsidR="004F13A3" w:rsidRPr="008D55FB">
        <w:rPr>
          <w:rFonts w:ascii="Bookman Old Style" w:hAnsi="Bookman Old Style"/>
        </w:rPr>
        <w:t xml:space="preserve">(2) </w:t>
      </w:r>
      <w:r w:rsidR="004F13A3" w:rsidRPr="008D55FB">
        <w:rPr>
          <w:rFonts w:ascii="Bookman Old Style" w:hAnsi="Bookman Old Style"/>
        </w:rPr>
        <w:tab/>
        <w:t>for that week, certified for waiting-week credit or made a claim for benefits.</w:t>
      </w:r>
    </w:p>
    <w:p w14:paraId="0C0745E3" w14:textId="77777777" w:rsidR="004F13A3" w:rsidRDefault="004F13A3" w:rsidP="008D55FB">
      <w:pPr>
        <w:tabs>
          <w:tab w:val="left" w:pos="1440"/>
        </w:tabs>
        <w:rPr>
          <w:rFonts w:ascii="Bookman Old Style" w:hAnsi="Bookman Old Style"/>
          <w:b/>
          <w:szCs w:val="24"/>
        </w:rPr>
      </w:pPr>
      <w:r w:rsidRPr="008D55FB">
        <w:rPr>
          <w:rFonts w:ascii="Bookman Old Style" w:hAnsi="Bookman Old Style"/>
          <w:b/>
          <w:szCs w:val="24"/>
        </w:rPr>
        <w:t>8 AAC 85.102 Intrastate filing: continued claims</w:t>
      </w:r>
    </w:p>
    <w:p w14:paraId="0E10D263" w14:textId="77777777" w:rsidR="008D55FB" w:rsidRPr="008D55FB" w:rsidRDefault="008D55FB" w:rsidP="008D55FB">
      <w:pPr>
        <w:tabs>
          <w:tab w:val="left" w:pos="1440"/>
        </w:tabs>
        <w:rPr>
          <w:rFonts w:ascii="Bookman Old Style" w:hAnsi="Bookman Old Style"/>
          <w:b/>
          <w:szCs w:val="24"/>
        </w:rPr>
      </w:pPr>
    </w:p>
    <w:p w14:paraId="3663C6EE" w14:textId="77777777" w:rsidR="004F13A3" w:rsidRPr="008D55FB" w:rsidRDefault="004F13A3" w:rsidP="004E768F">
      <w:pPr>
        <w:pStyle w:val="NormalWeb"/>
        <w:tabs>
          <w:tab w:val="left" w:pos="1440"/>
        </w:tabs>
        <w:spacing w:after="240" w:afterAutospacing="0"/>
        <w:ind w:left="360" w:hanging="360"/>
        <w:rPr>
          <w:rFonts w:ascii="Bookman Old Style" w:hAnsi="Bookman Old Style"/>
        </w:rPr>
      </w:pPr>
      <w:r w:rsidRPr="008D55FB">
        <w:rPr>
          <w:rFonts w:ascii="Bookman Old Style" w:hAnsi="Bookman Old Style"/>
        </w:rPr>
        <w:t xml:space="preserve">(a) An intrastate claimant located in this state is eligible for waiting week credit or benefits for a week if the claimant </w:t>
      </w:r>
    </w:p>
    <w:p w14:paraId="2CD35D52" w14:textId="77777777" w:rsidR="004F13A3" w:rsidRPr="008D55FB" w:rsidRDefault="004E768F" w:rsidP="004E768F">
      <w:pPr>
        <w:pStyle w:val="NormalWeb"/>
        <w:tabs>
          <w:tab w:val="left" w:pos="1440"/>
        </w:tabs>
        <w:spacing w:before="0" w:beforeAutospacing="0" w:after="0" w:afterAutospacing="0"/>
        <w:ind w:left="2160" w:hanging="2160"/>
        <w:rPr>
          <w:rFonts w:ascii="Bookman Old Style" w:hAnsi="Bookman Old Style"/>
        </w:rPr>
      </w:pPr>
      <w:r>
        <w:rPr>
          <w:rFonts w:ascii="Bookman Old Style" w:hAnsi="Bookman Old Style"/>
        </w:rPr>
        <w:lastRenderedPageBreak/>
        <w:tab/>
      </w:r>
      <w:r w:rsidR="004F13A3" w:rsidRPr="008D55FB">
        <w:rPr>
          <w:rFonts w:ascii="Bookman Old Style" w:hAnsi="Bookman Old Style"/>
        </w:rPr>
        <w:t xml:space="preserve">(1) </w:t>
      </w:r>
      <w:r w:rsidR="004F13A3" w:rsidRPr="008D55FB">
        <w:rPr>
          <w:rFonts w:ascii="Bookman Old Style" w:hAnsi="Bookman Old Style"/>
        </w:rPr>
        <w:tab/>
        <w:t xml:space="preserve">files a continued claim for the week as required in this section; and </w:t>
      </w:r>
    </w:p>
    <w:p w14:paraId="43AFE9DB"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meets all requirements of </w:t>
      </w:r>
      <w:r w:rsidR="004F13A3" w:rsidRPr="00EB781A">
        <w:rPr>
          <w:rFonts w:ascii="Bookman Old Style" w:hAnsi="Bookman Old Style"/>
        </w:rPr>
        <w:t xml:space="preserve">AS 23.20 </w:t>
      </w:r>
      <w:r w:rsidR="004F13A3" w:rsidRPr="008D55FB">
        <w:rPr>
          <w:rFonts w:ascii="Bookman Old Style" w:hAnsi="Bookman Old Style"/>
        </w:rPr>
        <w:t xml:space="preserve">and this chapter. </w:t>
      </w:r>
    </w:p>
    <w:p w14:paraId="4EAB52F2" w14:textId="77777777" w:rsidR="004F13A3" w:rsidRPr="008D55FB" w:rsidRDefault="004F13A3" w:rsidP="004E768F">
      <w:pPr>
        <w:pStyle w:val="NormalWeb"/>
        <w:tabs>
          <w:tab w:val="left" w:pos="1440"/>
        </w:tabs>
        <w:spacing w:after="240" w:afterAutospacing="0"/>
        <w:ind w:left="360" w:hanging="360"/>
        <w:rPr>
          <w:rFonts w:ascii="Bookman Old Style" w:hAnsi="Bookman Old Style"/>
        </w:rPr>
      </w:pPr>
      <w:r w:rsidRPr="008D55FB">
        <w:rPr>
          <w:rFonts w:ascii="Bookman Old Style" w:hAnsi="Bookman Old Style"/>
        </w:rPr>
        <w:t xml:space="preserve">(b) A claimant shall file a continued claim with an unemployment insurance claim center of the division by </w:t>
      </w:r>
    </w:p>
    <w:p w14:paraId="1D99E655"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(1) </w:t>
      </w:r>
      <w:r w:rsidR="004F13A3" w:rsidRPr="008D55FB">
        <w:rPr>
          <w:rFonts w:ascii="Bookman Old Style" w:hAnsi="Bookman Old Style"/>
        </w:rPr>
        <w:tab/>
        <w:t xml:space="preserve">an electronic means designated by the director; </w:t>
      </w:r>
    </w:p>
    <w:p w14:paraId="34260B3E"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(2) </w:t>
      </w:r>
      <w:r w:rsidR="004F13A3" w:rsidRPr="008D55FB">
        <w:rPr>
          <w:rFonts w:ascii="Bookman Old Style" w:hAnsi="Bookman Old Style"/>
        </w:rPr>
        <w:tab/>
        <w:t xml:space="preserve">telephone; or </w:t>
      </w:r>
    </w:p>
    <w:p w14:paraId="328A247D"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ab/>
      </w:r>
      <w:r w:rsidR="004F13A3" w:rsidRPr="008D55FB">
        <w:rPr>
          <w:rFonts w:ascii="Bookman Old Style" w:hAnsi="Bookman Old Style"/>
        </w:rPr>
        <w:t xml:space="preserve">(3) </w:t>
      </w:r>
      <w:r w:rsidR="004F13A3" w:rsidRPr="008D55FB">
        <w:rPr>
          <w:rFonts w:ascii="Bookman Old Style" w:hAnsi="Bookman Old Style"/>
        </w:rPr>
        <w:tab/>
        <w:t xml:space="preserve">mail, with the prior approval of the director. </w:t>
      </w:r>
    </w:p>
    <w:p w14:paraId="78A69684"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(c) A continued claim for a week is filed when an unemployment insurance claim center of the division receives a certification for a continued claim. </w:t>
      </w:r>
    </w:p>
    <w:p w14:paraId="29E92E41"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(d) The filing date of a continued claim filed by mail is the postmark date of the mailing of the completed claim form. </w:t>
      </w:r>
    </w:p>
    <w:p w14:paraId="71A04775"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(e) The date of filing of a continued claim filed by telephone is the date that the claimant accesses the telephone filing system and provides claim information for the week using the claimant's personal identification number. </w:t>
      </w:r>
    </w:p>
    <w:p w14:paraId="2CE23729"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(f) For each week claimed, the claimant shall answer specific eligibility questions and shall certify to the truthfulness and completeness of the answers. </w:t>
      </w:r>
    </w:p>
    <w:p w14:paraId="7D6AE9D8"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(g) A continued claim for a week may not be filed before the end of the week claimed. A continued claim may not be filed later than seven calendar days after the end of the week claimed, except that </w:t>
      </w:r>
    </w:p>
    <w:p w14:paraId="099A0E64"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(1) </w:t>
      </w:r>
      <w:r w:rsidR="004F13A3" w:rsidRPr="008D55FB">
        <w:rPr>
          <w:rFonts w:ascii="Bookman Old Style" w:hAnsi="Bookman Old Style"/>
        </w:rPr>
        <w:t xml:space="preserve">if the director authorizes the filing of bi-weekly claims, the claim may not be filed later than seven days after the end of the bi-weekly period authorized by the director; </w:t>
      </w:r>
    </w:p>
    <w:p w14:paraId="7626BCCF" w14:textId="77777777" w:rsidR="004F13A3" w:rsidRPr="008D55FB" w:rsidRDefault="004E768F" w:rsidP="004E768F">
      <w:pPr>
        <w:pStyle w:val="NormalWeb"/>
        <w:tabs>
          <w:tab w:val="left" w:pos="1440"/>
        </w:tabs>
        <w:spacing w:before="0" w:beforeAutospacing="0" w:after="0" w:afterAutospacing="0"/>
        <w:ind w:left="360" w:hanging="360"/>
        <w:rPr>
          <w:rFonts w:ascii="Bookman Old Style" w:hAnsi="Bookman Old Style"/>
        </w:rPr>
      </w:pPr>
      <w:r>
        <w:rPr>
          <w:rFonts w:ascii="Bookman Old Style" w:hAnsi="Bookman Old Style"/>
        </w:rPr>
        <w:t xml:space="preserve">(2) </w:t>
      </w:r>
      <w:r w:rsidR="004F13A3" w:rsidRPr="008D55FB">
        <w:rPr>
          <w:rFonts w:ascii="Bookman Old Style" w:hAnsi="Bookman Old Style"/>
        </w:rPr>
        <w:t xml:space="preserve">a claim for benefits for a week of partial unemployment may not be filed later than seven days after the claimant receives wages for that week. </w:t>
      </w:r>
    </w:p>
    <w:p w14:paraId="47265107" w14:textId="77777777" w:rsidR="004F13A3" w:rsidRPr="008D55FB" w:rsidRDefault="004F13A3" w:rsidP="004E768F">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(h) The director shall extend the time allowed in (g) of this section for filing a continued claim if the claimant has good cause for filing a late claim and the claimant files the claim as soon as possible under the circumstances. </w:t>
      </w:r>
    </w:p>
    <w:p w14:paraId="14823009" w14:textId="1D06FC98" w:rsidR="00B317D0" w:rsidRPr="008D55FB" w:rsidRDefault="004F13A3" w:rsidP="00BA7D6C">
      <w:pPr>
        <w:pStyle w:val="NormalWeb"/>
        <w:tabs>
          <w:tab w:val="left" w:pos="1440"/>
        </w:tabs>
        <w:spacing w:before="0" w:beforeAutospacing="0" w:after="0" w:afterAutospacing="0"/>
        <w:ind w:left="360" w:hanging="360"/>
        <w:rPr>
          <w:rFonts w:ascii="Bookman Old Style" w:hAnsi="Bookman Old Style"/>
        </w:rPr>
      </w:pPr>
      <w:r w:rsidRPr="008D55FB">
        <w:rPr>
          <w:rFonts w:ascii="Bookman Old Style" w:hAnsi="Bookman Old Style"/>
        </w:rPr>
        <w:t xml:space="preserve">(i) </w:t>
      </w:r>
      <w:r w:rsidR="004E768F">
        <w:rPr>
          <w:rFonts w:ascii="Bookman Old Style" w:hAnsi="Bookman Old Style"/>
        </w:rPr>
        <w:t xml:space="preserve"> </w:t>
      </w:r>
      <w:r w:rsidRPr="008D55FB">
        <w:rPr>
          <w:rFonts w:ascii="Bookman Old Style" w:hAnsi="Bookman Old Style"/>
        </w:rPr>
        <w:t>For the purposes of (h) of this section, "good cause" means circumstances beyond a claimant's control that the division determines leave the claimant with no reasonable choice but to delay filing the claim; "good cause" includes illness or disability of the claimant, processing delays within the division, or failure of the division to provide sufficient or correct information to the claimant in order to file a continued claim.</w:t>
      </w:r>
    </w:p>
    <w:p w14:paraId="61798D61" w14:textId="77777777" w:rsidR="00B317D0" w:rsidRPr="008D55FB" w:rsidRDefault="00B317D0" w:rsidP="008D55FB">
      <w:pPr>
        <w:rPr>
          <w:rFonts w:ascii="Bookman Old Style" w:hAnsi="Bookman Old Style"/>
          <w:szCs w:val="24"/>
        </w:rPr>
      </w:pPr>
    </w:p>
    <w:p w14:paraId="0F31A05A"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CONCLUSION</w:t>
      </w:r>
    </w:p>
    <w:p w14:paraId="7DE15590" w14:textId="77777777" w:rsidR="005A281D" w:rsidRPr="008D55FB" w:rsidRDefault="005A281D" w:rsidP="008D55FB">
      <w:pPr>
        <w:tabs>
          <w:tab w:val="left" w:pos="-1440"/>
          <w:tab w:val="left" w:pos="-720"/>
        </w:tabs>
        <w:rPr>
          <w:rFonts w:ascii="Bookman Old Style" w:hAnsi="Bookman Old Style"/>
          <w:szCs w:val="24"/>
        </w:rPr>
      </w:pPr>
    </w:p>
    <w:p w14:paraId="3BE9AB03" w14:textId="2C550D2F" w:rsidR="008B5016" w:rsidRDefault="008B5016" w:rsidP="008D55FB">
      <w:pPr>
        <w:rPr>
          <w:rFonts w:ascii="Bookman Old Style" w:hAnsi="Bookman Old Style"/>
          <w:szCs w:val="24"/>
        </w:rPr>
      </w:pPr>
      <w:r>
        <w:rPr>
          <w:rFonts w:ascii="Bookman Old Style" w:hAnsi="Bookman Old Style"/>
          <w:iCs/>
          <w:szCs w:val="24"/>
        </w:rPr>
        <w:t>Alaska Statute 23.20.375 holds that a claimant must file a certification to claim benefits in accordance with regulations adopted by the Department.  Regulation 8 AAC 85.102 holds that a certification must be filed within seven days the week being filed or within seven days of the end of a bi-weekly filing period.</w:t>
      </w:r>
      <w:r>
        <w:rPr>
          <w:rFonts w:ascii="Bookman Old Style" w:hAnsi="Bookman Old Style"/>
          <w:iCs/>
          <w:szCs w:val="24"/>
        </w:rPr>
        <w:t xml:space="preserve"> The regulation allows that the time allowed to file a late certification </w:t>
      </w:r>
      <w:r w:rsidR="009F7282">
        <w:rPr>
          <w:rFonts w:ascii="Bookman Old Style" w:hAnsi="Bookman Old Style"/>
          <w:iCs/>
          <w:szCs w:val="24"/>
        </w:rPr>
        <w:lastRenderedPageBreak/>
        <w:t xml:space="preserve">may be extended if the claimant has good cause for filing a late certification. Good cause includes circumstances that leave the claimant with no reasonable choice to delay filing the claim, such as illness or disability, processing delays within the Division or failure of the Division to provide sufficient or correct information to the claimant in order to file a certification. </w:t>
      </w:r>
    </w:p>
    <w:p w14:paraId="081ADCA2" w14:textId="77777777" w:rsidR="008B5016" w:rsidRDefault="008B5016" w:rsidP="008D55FB">
      <w:pPr>
        <w:rPr>
          <w:rFonts w:ascii="Bookman Old Style" w:hAnsi="Bookman Old Style"/>
          <w:szCs w:val="24"/>
        </w:rPr>
      </w:pPr>
    </w:p>
    <w:p w14:paraId="32968120" w14:textId="02583319" w:rsidR="0040291B" w:rsidRDefault="0040291B" w:rsidP="008D55FB">
      <w:pPr>
        <w:rPr>
          <w:rFonts w:ascii="Bookman Old Style" w:hAnsi="Bookman Old Style"/>
          <w:szCs w:val="24"/>
        </w:rPr>
      </w:pPr>
      <w:r>
        <w:rPr>
          <w:rFonts w:ascii="Bookman Old Style" w:hAnsi="Bookman Old Style"/>
          <w:szCs w:val="24"/>
        </w:rPr>
        <w:t xml:space="preserve">The claimant </w:t>
      </w:r>
      <w:r w:rsidR="00C861EB">
        <w:rPr>
          <w:rFonts w:ascii="Bookman Old Style" w:hAnsi="Bookman Old Style"/>
          <w:szCs w:val="24"/>
        </w:rPr>
        <w:t>argued that he</w:t>
      </w:r>
      <w:r>
        <w:rPr>
          <w:rFonts w:ascii="Bookman Old Style" w:hAnsi="Bookman Old Style"/>
          <w:szCs w:val="24"/>
        </w:rPr>
        <w:t xml:space="preserve"> did not understand that he was required to file a certification each week or every two weeks to claim unemployment benefits for that week. The Division advised the claimant of t</w:t>
      </w:r>
      <w:r w:rsidR="009F7282">
        <w:rPr>
          <w:rFonts w:ascii="Bookman Old Style" w:hAnsi="Bookman Old Style"/>
          <w:szCs w:val="24"/>
        </w:rPr>
        <w:t xml:space="preserve">he filing </w:t>
      </w:r>
      <w:r>
        <w:rPr>
          <w:rFonts w:ascii="Bookman Old Style" w:hAnsi="Bookman Old Style"/>
          <w:szCs w:val="24"/>
        </w:rPr>
        <w:t>requirement</w:t>
      </w:r>
      <w:r w:rsidR="00C861EB">
        <w:rPr>
          <w:rFonts w:ascii="Bookman Old Style" w:hAnsi="Bookman Old Style"/>
          <w:szCs w:val="24"/>
        </w:rPr>
        <w:t>s</w:t>
      </w:r>
      <w:r>
        <w:rPr>
          <w:rFonts w:ascii="Bookman Old Style" w:hAnsi="Bookman Old Style"/>
          <w:szCs w:val="24"/>
        </w:rPr>
        <w:t xml:space="preserve"> in the </w:t>
      </w:r>
      <w:r w:rsidR="0002414E">
        <w:rPr>
          <w:rFonts w:ascii="Bookman Old Style" w:hAnsi="Bookman Old Style"/>
          <w:szCs w:val="24"/>
        </w:rPr>
        <w:t>H</w:t>
      </w:r>
      <w:r>
        <w:rPr>
          <w:rFonts w:ascii="Bookman Old Style" w:hAnsi="Bookman Old Style"/>
          <w:szCs w:val="24"/>
        </w:rPr>
        <w:t>andbook that was mailed to him when he established his claim</w:t>
      </w:r>
      <w:r w:rsidR="00C861EB">
        <w:rPr>
          <w:rFonts w:ascii="Bookman Old Style" w:hAnsi="Bookman Old Style"/>
          <w:szCs w:val="24"/>
        </w:rPr>
        <w:t>, as well as posted on the website</w:t>
      </w:r>
      <w:r>
        <w:rPr>
          <w:rFonts w:ascii="Bookman Old Style" w:hAnsi="Bookman Old Style"/>
          <w:szCs w:val="24"/>
        </w:rPr>
        <w:t>.  The claimant argued that his inability to receive mail was outside of his control, but the Tribunal does not agree.  The claimant was required to provide the Division with a mailing address at which he could receive notices and determinations regarding his claim</w:t>
      </w:r>
      <w:r w:rsidR="00C861EB">
        <w:rPr>
          <w:rFonts w:ascii="Bookman Old Style" w:hAnsi="Bookman Old Style"/>
          <w:szCs w:val="24"/>
        </w:rPr>
        <w:t xml:space="preserve"> but he </w:t>
      </w:r>
      <w:r>
        <w:rPr>
          <w:rFonts w:ascii="Bookman Old Style" w:hAnsi="Bookman Old Style"/>
          <w:szCs w:val="24"/>
        </w:rPr>
        <w:t xml:space="preserve">provided the Division with an address to which he did not have access. </w:t>
      </w:r>
      <w:r w:rsidR="008B5016">
        <w:rPr>
          <w:rFonts w:ascii="Bookman Old Style" w:hAnsi="Bookman Old Style"/>
          <w:szCs w:val="24"/>
        </w:rPr>
        <w:t xml:space="preserve">The claimant </w:t>
      </w:r>
      <w:r w:rsidR="00C861EB">
        <w:rPr>
          <w:rFonts w:ascii="Bookman Old Style" w:hAnsi="Bookman Old Style"/>
          <w:szCs w:val="24"/>
        </w:rPr>
        <w:t>did not take any actions</w:t>
      </w:r>
      <w:r w:rsidR="008B5016">
        <w:rPr>
          <w:rFonts w:ascii="Bookman Old Style" w:hAnsi="Bookman Old Style"/>
          <w:szCs w:val="24"/>
        </w:rPr>
        <w:t xml:space="preserve"> to ensure his claim was being handed properly, </w:t>
      </w:r>
      <w:r w:rsidR="00C861EB">
        <w:rPr>
          <w:rFonts w:ascii="Bookman Old Style" w:hAnsi="Bookman Old Style"/>
          <w:szCs w:val="24"/>
        </w:rPr>
        <w:t>knowing that</w:t>
      </w:r>
      <w:r w:rsidR="008B5016">
        <w:rPr>
          <w:rFonts w:ascii="Bookman Old Style" w:hAnsi="Bookman Old Style"/>
          <w:szCs w:val="24"/>
        </w:rPr>
        <w:t xml:space="preserve"> he did not have access to mail from the Division.  He could have called the Division’s claim center, checked his benefit s</w:t>
      </w:r>
      <w:r w:rsidR="00C861EB">
        <w:rPr>
          <w:rFonts w:ascii="Bookman Old Style" w:hAnsi="Bookman Old Style"/>
          <w:szCs w:val="24"/>
        </w:rPr>
        <w:t>tatus</w:t>
      </w:r>
      <w:r w:rsidR="008B5016">
        <w:rPr>
          <w:rFonts w:ascii="Bookman Old Style" w:hAnsi="Bookman Old Style"/>
          <w:szCs w:val="24"/>
        </w:rPr>
        <w:t xml:space="preserve"> on the Division’s website, or checked for his benefits in his bank account.  He could have accessed filing information in the Division’s claimant Handbook</w:t>
      </w:r>
      <w:r w:rsidR="00C861EB">
        <w:rPr>
          <w:rFonts w:ascii="Bookman Old Style" w:hAnsi="Bookman Old Style"/>
          <w:szCs w:val="24"/>
        </w:rPr>
        <w:t xml:space="preserve"> posted</w:t>
      </w:r>
      <w:r w:rsidR="008B5016">
        <w:rPr>
          <w:rFonts w:ascii="Bookman Old Style" w:hAnsi="Bookman Old Style"/>
          <w:szCs w:val="24"/>
        </w:rPr>
        <w:t xml:space="preserve"> on the public website. </w:t>
      </w:r>
    </w:p>
    <w:p w14:paraId="246AD586" w14:textId="77777777" w:rsidR="0040291B" w:rsidRDefault="0040291B" w:rsidP="008D55FB">
      <w:pPr>
        <w:rPr>
          <w:rFonts w:ascii="Bookman Old Style" w:hAnsi="Bookman Old Style"/>
          <w:szCs w:val="24"/>
        </w:rPr>
      </w:pPr>
    </w:p>
    <w:p w14:paraId="348EC3B3" w14:textId="5BF3585C" w:rsidR="008D55FB" w:rsidRPr="008D55FB" w:rsidRDefault="004F13A3" w:rsidP="008D55FB">
      <w:pPr>
        <w:rPr>
          <w:rFonts w:ascii="Bookman Old Style" w:hAnsi="Bookman Old Style"/>
          <w:szCs w:val="24"/>
        </w:rPr>
      </w:pPr>
      <w:r w:rsidRPr="008D55FB">
        <w:rPr>
          <w:rFonts w:ascii="Bookman Old Style" w:hAnsi="Bookman Old Style"/>
          <w:szCs w:val="24"/>
        </w:rPr>
        <w:t xml:space="preserve">In </w:t>
      </w:r>
      <w:r w:rsidRPr="008D55FB">
        <w:rPr>
          <w:rFonts w:ascii="Bookman Old Style" w:hAnsi="Bookman Old Style"/>
          <w:szCs w:val="24"/>
          <w:u w:val="single"/>
        </w:rPr>
        <w:t>Matchett</w:t>
      </w:r>
      <w:r w:rsidRPr="008D55FB">
        <w:rPr>
          <w:rFonts w:ascii="Bookman Old Style" w:hAnsi="Bookman Old Style"/>
          <w:szCs w:val="24"/>
        </w:rPr>
        <w:t>, Com. Dec. 992621, January 10, 2000, the Commissioner held in part:</w:t>
      </w:r>
    </w:p>
    <w:p w14:paraId="2ED7E543" w14:textId="6C2EB1CA" w:rsidR="00C861EB" w:rsidRDefault="004F13A3" w:rsidP="00C861EB">
      <w:pPr>
        <w:pStyle w:val="BodyTextIndent"/>
        <w:ind w:left="720" w:right="90"/>
        <w:rPr>
          <w:rFonts w:ascii="Bookman Old Style" w:hAnsi="Bookman Old Style"/>
          <w:i/>
          <w:szCs w:val="24"/>
        </w:rPr>
      </w:pPr>
      <w:r w:rsidRPr="008D55FB">
        <w:rPr>
          <w:rFonts w:ascii="Bookman Old Style" w:hAnsi="Bookman Old Style"/>
          <w:i/>
          <w:szCs w:val="24"/>
        </w:rPr>
        <w:t>The unemployment insurance system also requires the filing of continuing claims on a bi-weekly basis wherein claimants certify to among other things, their availability for work and any earnings they may have had. If the continued claims are not filed on a timely basis, memories fade and there is a danger they will not be filed accurately. Allowing claims to be backdated for substantial periods, works against that goal. The statute requiring timely filing of claims is not frivolous.</w:t>
      </w:r>
    </w:p>
    <w:p w14:paraId="56679428" w14:textId="77777777" w:rsidR="00C861EB" w:rsidRPr="008D55FB" w:rsidRDefault="00C861EB" w:rsidP="00C861EB">
      <w:pPr>
        <w:pStyle w:val="BodyTextIndent"/>
        <w:ind w:left="720" w:right="90"/>
        <w:rPr>
          <w:rFonts w:ascii="Bookman Old Style" w:hAnsi="Bookman Old Style"/>
          <w:i/>
          <w:szCs w:val="24"/>
        </w:rPr>
      </w:pPr>
    </w:p>
    <w:p w14:paraId="69EB5667" w14:textId="2191A9E0" w:rsidR="008D55FB" w:rsidRPr="008D55FB" w:rsidRDefault="004F13A3" w:rsidP="008D55FB">
      <w:pPr>
        <w:rPr>
          <w:rFonts w:ascii="Bookman Old Style" w:hAnsi="Bookman Old Style"/>
          <w:szCs w:val="24"/>
        </w:rPr>
      </w:pPr>
      <w:r w:rsidRPr="008D55FB">
        <w:rPr>
          <w:rFonts w:ascii="Bookman Old Style" w:hAnsi="Bookman Old Style"/>
          <w:szCs w:val="24"/>
        </w:rPr>
        <w:t xml:space="preserve">In </w:t>
      </w:r>
      <w:r w:rsidRPr="008D55FB">
        <w:rPr>
          <w:rFonts w:ascii="Bookman Old Style" w:hAnsi="Bookman Old Style"/>
          <w:szCs w:val="24"/>
          <w:u w:val="single"/>
        </w:rPr>
        <w:t>Scott</w:t>
      </w:r>
      <w:r w:rsidRPr="008D55FB">
        <w:rPr>
          <w:rFonts w:ascii="Bookman Old Style" w:hAnsi="Bookman Old Style"/>
          <w:szCs w:val="24"/>
        </w:rPr>
        <w:t>, Com. Dec. 87H-EB-162, June 18, 1987, the Commissioner held in part:</w:t>
      </w:r>
    </w:p>
    <w:p w14:paraId="045E944C" w14:textId="77777777" w:rsidR="004F13A3" w:rsidRPr="008D55FB" w:rsidRDefault="004F13A3" w:rsidP="008D55FB">
      <w:pPr>
        <w:tabs>
          <w:tab w:val="left" w:pos="-1440"/>
          <w:tab w:val="left" w:pos="-720"/>
        </w:tabs>
        <w:suppressAutoHyphens/>
        <w:ind w:left="720"/>
        <w:rPr>
          <w:rFonts w:ascii="Bookman Old Style" w:hAnsi="Bookman Old Style"/>
          <w:i/>
          <w:szCs w:val="24"/>
        </w:rPr>
      </w:pPr>
      <w:r w:rsidRPr="008D55FB">
        <w:rPr>
          <w:rFonts w:ascii="Bookman Old Style" w:hAnsi="Bookman Old Style"/>
          <w:i/>
          <w:szCs w:val="24"/>
        </w:rPr>
        <w:t xml:space="preserve">Neither the Appeal Tribunal nor I have any jurisdiction to hold contrary to the clear wordage of the law. </w:t>
      </w:r>
    </w:p>
    <w:p w14:paraId="3B6BEA25" w14:textId="49B97C81" w:rsidR="005A281D" w:rsidRDefault="005A281D" w:rsidP="008D55FB">
      <w:pPr>
        <w:tabs>
          <w:tab w:val="left" w:pos="-1440"/>
          <w:tab w:val="left" w:pos="-720"/>
        </w:tabs>
        <w:rPr>
          <w:rFonts w:ascii="Bookman Old Style" w:hAnsi="Bookman Old Style"/>
          <w:szCs w:val="24"/>
        </w:rPr>
      </w:pPr>
    </w:p>
    <w:p w14:paraId="6BEA43D7" w14:textId="0CDBC161" w:rsidR="00C861EB" w:rsidRDefault="00C861EB" w:rsidP="008D55FB">
      <w:pPr>
        <w:tabs>
          <w:tab w:val="left" w:pos="-1440"/>
          <w:tab w:val="left" w:pos="-720"/>
        </w:tabs>
        <w:rPr>
          <w:rFonts w:ascii="Bookman Old Style" w:hAnsi="Bookman Old Style"/>
          <w:szCs w:val="24"/>
        </w:rPr>
      </w:pPr>
      <w:r>
        <w:rPr>
          <w:rFonts w:ascii="Bookman Old Style" w:hAnsi="Bookman Old Style"/>
          <w:szCs w:val="24"/>
        </w:rPr>
        <w:t xml:space="preserve">The Tribunal cannot conclude that the claimant had good cause to file later certifications for the week under review. </w:t>
      </w:r>
    </w:p>
    <w:p w14:paraId="65966F97" w14:textId="77777777" w:rsidR="00C861EB" w:rsidRPr="008D55FB" w:rsidRDefault="00C861EB" w:rsidP="008D55FB">
      <w:pPr>
        <w:tabs>
          <w:tab w:val="left" w:pos="-1440"/>
          <w:tab w:val="left" w:pos="-720"/>
        </w:tabs>
        <w:rPr>
          <w:rFonts w:ascii="Bookman Old Style" w:hAnsi="Bookman Old Style"/>
          <w:szCs w:val="24"/>
        </w:rPr>
      </w:pPr>
    </w:p>
    <w:p w14:paraId="360272AC"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t>DECISION</w:t>
      </w:r>
    </w:p>
    <w:p w14:paraId="16F5F32C" w14:textId="77777777" w:rsidR="005A281D" w:rsidRPr="008D55FB" w:rsidRDefault="005A281D" w:rsidP="008D55FB">
      <w:pPr>
        <w:tabs>
          <w:tab w:val="left" w:pos="-1440"/>
          <w:tab w:val="left" w:pos="-720"/>
        </w:tabs>
        <w:rPr>
          <w:rFonts w:ascii="Bookman Old Style" w:hAnsi="Bookman Old Style"/>
          <w:szCs w:val="24"/>
        </w:rPr>
      </w:pPr>
    </w:p>
    <w:p w14:paraId="747EABC8" w14:textId="46748639" w:rsidR="008D55FB" w:rsidRDefault="008D55FB" w:rsidP="008D55F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C861EB">
        <w:rPr>
          <w:rFonts w:ascii="Bookman Old Style" w:hAnsi="Bookman Old Style"/>
          <w:szCs w:val="24"/>
        </w:rPr>
        <w:t>May 6, 2022</w:t>
      </w:r>
      <w:r w:rsidRPr="00E663B4">
        <w:rPr>
          <w:rFonts w:ascii="Bookman Old Style" w:hAnsi="Bookman Old Style"/>
          <w:szCs w:val="24"/>
        </w:rPr>
        <w:t xml:space="preserve"> is </w:t>
      </w:r>
      <w:r w:rsidR="00C861EB">
        <w:rPr>
          <w:rFonts w:ascii="Bookman Old Style" w:hAnsi="Bookman Old Style"/>
          <w:b/>
          <w:szCs w:val="24"/>
        </w:rPr>
        <w:t>AFFIRMED</w:t>
      </w:r>
      <w:r w:rsidRPr="00E663B4">
        <w:rPr>
          <w:rFonts w:ascii="Bookman Old Style" w:hAnsi="Bookman Old Style"/>
          <w:szCs w:val="24"/>
        </w:rPr>
        <w:t xml:space="preserve">. Benefits are </w:t>
      </w:r>
      <w:r w:rsidR="00C861EB">
        <w:rPr>
          <w:rFonts w:ascii="Bookman Old Style" w:hAnsi="Bookman Old Style"/>
          <w:b/>
          <w:szCs w:val="24"/>
        </w:rPr>
        <w:t>DENIED</w:t>
      </w:r>
      <w:r w:rsidRPr="00E663B4">
        <w:rPr>
          <w:rFonts w:ascii="Bookman Old Style" w:hAnsi="Bookman Old Style"/>
          <w:szCs w:val="24"/>
        </w:rPr>
        <w:t xml:space="preserve"> for the weeks ending </w:t>
      </w:r>
      <w:r w:rsidR="00C861EB">
        <w:rPr>
          <w:rFonts w:ascii="Bookman Old Style" w:hAnsi="Bookman Old Style"/>
          <w:szCs w:val="24"/>
        </w:rPr>
        <w:t>December 11, 2021 through February 19, 2022</w:t>
      </w:r>
      <w:r w:rsidRPr="00E663B4">
        <w:rPr>
          <w:rFonts w:ascii="Bookman Old Style" w:hAnsi="Bookman Old Style"/>
          <w:szCs w:val="24"/>
        </w:rPr>
        <w:t>.</w:t>
      </w:r>
    </w:p>
    <w:p w14:paraId="7F4E1491" w14:textId="77777777" w:rsidR="00C861EB" w:rsidRPr="00332F93" w:rsidRDefault="00C861EB" w:rsidP="008D55FB">
      <w:pPr>
        <w:tabs>
          <w:tab w:val="left" w:pos="-1440"/>
          <w:tab w:val="left" w:pos="-720"/>
        </w:tabs>
        <w:rPr>
          <w:rFonts w:ascii="Bookman Old Style" w:hAnsi="Bookman Old Style"/>
          <w:vanish/>
          <w:szCs w:val="24"/>
          <w:specVanish/>
        </w:rPr>
      </w:pPr>
    </w:p>
    <w:p w14:paraId="3A911ED4" w14:textId="77777777" w:rsidR="008D55FB" w:rsidRDefault="008D55FB" w:rsidP="008D55FB">
      <w:pPr>
        <w:rPr>
          <w:rFonts w:ascii="Bookman Old Style" w:hAnsi="Bookman Old Style"/>
          <w:szCs w:val="24"/>
        </w:rPr>
      </w:pPr>
      <w:r>
        <w:rPr>
          <w:rFonts w:ascii="Bookman Old Style" w:hAnsi="Bookman Old Style"/>
          <w:szCs w:val="24"/>
        </w:rPr>
        <w:t xml:space="preserve"> </w:t>
      </w:r>
    </w:p>
    <w:p w14:paraId="6C587890" w14:textId="77777777" w:rsidR="005A281D" w:rsidRPr="008D55FB" w:rsidRDefault="005A281D" w:rsidP="008D55FB">
      <w:pPr>
        <w:tabs>
          <w:tab w:val="left" w:pos="-1440"/>
          <w:tab w:val="left" w:pos="-720"/>
        </w:tabs>
        <w:rPr>
          <w:rFonts w:ascii="Bookman Old Style" w:hAnsi="Bookman Old Style"/>
          <w:szCs w:val="24"/>
        </w:rPr>
      </w:pPr>
    </w:p>
    <w:p w14:paraId="19162C71" w14:textId="77777777" w:rsidR="005A281D" w:rsidRPr="008D55FB" w:rsidRDefault="005A281D" w:rsidP="008D55FB">
      <w:pPr>
        <w:pStyle w:val="Heading4"/>
        <w:jc w:val="center"/>
        <w:rPr>
          <w:rFonts w:ascii="Bookman Old Style" w:hAnsi="Bookman Old Style"/>
          <w:szCs w:val="24"/>
        </w:rPr>
      </w:pPr>
      <w:r w:rsidRPr="008D55FB">
        <w:rPr>
          <w:rFonts w:ascii="Bookman Old Style" w:hAnsi="Bookman Old Style"/>
          <w:szCs w:val="24"/>
        </w:rPr>
        <w:lastRenderedPageBreak/>
        <w:t>APPEAL RIGHTS</w:t>
      </w:r>
    </w:p>
    <w:p w14:paraId="02B3B5E9" w14:textId="77777777" w:rsidR="005A281D" w:rsidRPr="008D55FB" w:rsidRDefault="005A281D" w:rsidP="008D55FB">
      <w:pPr>
        <w:tabs>
          <w:tab w:val="left" w:pos="-1440"/>
          <w:tab w:val="left" w:pos="-720"/>
        </w:tabs>
        <w:rPr>
          <w:rFonts w:ascii="Bookman Old Style" w:hAnsi="Bookman Old Style"/>
          <w:szCs w:val="24"/>
        </w:rPr>
      </w:pPr>
    </w:p>
    <w:p w14:paraId="43564A5E" w14:textId="77777777" w:rsidR="008D55FB" w:rsidRPr="006364B5" w:rsidRDefault="008D55FB" w:rsidP="008D55FB">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606FBDC2" w14:textId="77777777" w:rsidR="005A281D" w:rsidRPr="008D55FB" w:rsidRDefault="005A281D" w:rsidP="008D55FB">
      <w:pPr>
        <w:tabs>
          <w:tab w:val="left" w:pos="-1440"/>
          <w:tab w:val="left" w:pos="-720"/>
        </w:tabs>
        <w:rPr>
          <w:rFonts w:ascii="Bookman Old Style" w:hAnsi="Bookman Old Style"/>
          <w:szCs w:val="24"/>
        </w:rPr>
      </w:pPr>
    </w:p>
    <w:p w14:paraId="39CFA281" w14:textId="4C781CDF" w:rsidR="005A281D" w:rsidRPr="008D55FB" w:rsidRDefault="00E56F09" w:rsidP="008D55FB">
      <w:pPr>
        <w:tabs>
          <w:tab w:val="left" w:pos="-1440"/>
          <w:tab w:val="left" w:pos="-720"/>
        </w:tabs>
        <w:rPr>
          <w:rFonts w:ascii="Bookman Old Style" w:hAnsi="Bookman Old Style"/>
          <w:szCs w:val="24"/>
        </w:rPr>
      </w:pPr>
      <w:r w:rsidRPr="008D55FB">
        <w:rPr>
          <w:rFonts w:ascii="Bookman Old Style" w:hAnsi="Bookman Old Style"/>
          <w:szCs w:val="24"/>
        </w:rPr>
        <w:t>Dated and m</w:t>
      </w:r>
      <w:r w:rsidR="005A281D" w:rsidRPr="008D55FB">
        <w:rPr>
          <w:rFonts w:ascii="Bookman Old Style" w:hAnsi="Bookman Old Style"/>
          <w:szCs w:val="24"/>
        </w:rPr>
        <w:t xml:space="preserve">ailed on </w:t>
      </w:r>
      <w:r w:rsidR="009260EA">
        <w:rPr>
          <w:rFonts w:ascii="Bookman Old Style" w:hAnsi="Bookman Old Style"/>
          <w:szCs w:val="24"/>
        </w:rPr>
        <w:t>July 26, 2022</w:t>
      </w:r>
      <w:r w:rsidR="005A281D" w:rsidRPr="008D55FB">
        <w:rPr>
          <w:rFonts w:ascii="Bookman Old Style" w:hAnsi="Bookman Old Style"/>
          <w:szCs w:val="24"/>
        </w:rPr>
        <w:t>.</w:t>
      </w:r>
    </w:p>
    <w:p w14:paraId="6D99FF55" w14:textId="77777777" w:rsidR="005A281D" w:rsidRPr="008D55FB" w:rsidRDefault="005A281D" w:rsidP="008D55FB">
      <w:pPr>
        <w:tabs>
          <w:tab w:val="left" w:pos="-1440"/>
          <w:tab w:val="left" w:pos="-720"/>
        </w:tabs>
        <w:rPr>
          <w:rFonts w:ascii="Bookman Old Style" w:hAnsi="Bookman Old Style"/>
          <w:szCs w:val="24"/>
        </w:rPr>
      </w:pPr>
    </w:p>
    <w:p w14:paraId="47E5633A" w14:textId="77777777" w:rsidR="005A281D" w:rsidRPr="008D55FB" w:rsidRDefault="007A58C9" w:rsidP="008D55FB">
      <w:pPr>
        <w:tabs>
          <w:tab w:val="left" w:pos="-1440"/>
          <w:tab w:val="left" w:pos="-720"/>
        </w:tabs>
        <w:rPr>
          <w:rFonts w:ascii="Bookman Old Style" w:hAnsi="Bookman Old Style"/>
          <w:szCs w:val="24"/>
        </w:rPr>
      </w:pP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r>
      <w:r w:rsidRPr="008D55FB">
        <w:rPr>
          <w:rFonts w:ascii="Bookman Old Style" w:hAnsi="Bookman Old Style"/>
          <w:szCs w:val="24"/>
        </w:rPr>
        <w:tab/>
        <w:t xml:space="preserve">      </w:t>
      </w:r>
    </w:p>
    <w:p w14:paraId="461C91F2" w14:textId="77777777" w:rsidR="00B91349" w:rsidRPr="008D55FB" w:rsidRDefault="00B91349" w:rsidP="008D55FB">
      <w:pPr>
        <w:tabs>
          <w:tab w:val="left" w:pos="-1440"/>
          <w:tab w:val="left" w:pos="-720"/>
        </w:tabs>
        <w:rPr>
          <w:rFonts w:ascii="Bookman Old Style" w:hAnsi="Bookman Old Style"/>
          <w:szCs w:val="24"/>
        </w:rPr>
      </w:pPr>
    </w:p>
    <w:p w14:paraId="5117BDA4" w14:textId="77777777" w:rsidR="00B91349" w:rsidRPr="008D55FB" w:rsidRDefault="00B91349" w:rsidP="008D55FB">
      <w:pPr>
        <w:tabs>
          <w:tab w:val="left" w:pos="-1440"/>
          <w:tab w:val="left" w:pos="-720"/>
        </w:tabs>
        <w:rPr>
          <w:rFonts w:ascii="Bookman Old Style" w:hAnsi="Bookman Old Style"/>
          <w:szCs w:val="24"/>
        </w:rPr>
      </w:pPr>
    </w:p>
    <w:p w14:paraId="16D3166C" w14:textId="610CAA2B" w:rsidR="005A281D" w:rsidRPr="008D55FB" w:rsidRDefault="00172486" w:rsidP="008D55FB">
      <w:pPr>
        <w:tabs>
          <w:tab w:val="left" w:pos="-1440"/>
          <w:tab w:val="left" w:pos="-720"/>
        </w:tabs>
        <w:rPr>
          <w:rFonts w:ascii="Bookman Old Style" w:hAnsi="Bookman Old Style"/>
          <w:szCs w:val="24"/>
        </w:rPr>
      </w:pPr>
      <w:r w:rsidRPr="008D55FB">
        <w:rPr>
          <w:rFonts w:ascii="Bookman Old Style" w:hAnsi="Bookman Old Style"/>
          <w:szCs w:val="24"/>
        </w:rPr>
        <w:t xml:space="preserve">              </w:t>
      </w:r>
      <w:r w:rsidR="00774034" w:rsidRPr="008D55FB">
        <w:rPr>
          <w:rFonts w:ascii="Bookman Old Style" w:hAnsi="Bookman Old Style"/>
          <w:szCs w:val="24"/>
        </w:rPr>
        <w:tab/>
      </w:r>
      <w:r w:rsidR="005A281D" w:rsidRPr="008D55FB">
        <w:rPr>
          <w:rFonts w:ascii="Bookman Old Style" w:hAnsi="Bookman Old Style"/>
          <w:szCs w:val="24"/>
        </w:rPr>
        <w:t xml:space="preserve">                                  </w:t>
      </w:r>
      <w:r w:rsidRPr="008D55FB">
        <w:rPr>
          <w:rFonts w:ascii="Bookman Old Style" w:hAnsi="Bookman Old Style"/>
          <w:szCs w:val="24"/>
        </w:rPr>
        <w:t xml:space="preserve">         </w:t>
      </w:r>
      <w:r w:rsidR="009260EA">
        <w:rPr>
          <w:rFonts w:ascii="Bookman Old Style" w:hAnsi="Bookman Old Style"/>
          <w:szCs w:val="24"/>
        </w:rPr>
        <w:t>Rhonda Buness</w:t>
      </w:r>
      <w:r w:rsidR="005A281D" w:rsidRPr="008D55FB">
        <w:rPr>
          <w:rFonts w:ascii="Bookman Old Style" w:hAnsi="Bookman Old Style"/>
          <w:szCs w:val="24"/>
        </w:rPr>
        <w:t xml:space="preserve">, </w:t>
      </w:r>
      <w:r w:rsidR="00105365">
        <w:rPr>
          <w:rFonts w:ascii="Bookman Old Style" w:hAnsi="Bookman Old Style"/>
          <w:szCs w:val="24"/>
        </w:rPr>
        <w:t>Appeals</w:t>
      </w:r>
      <w:r w:rsidR="005A281D" w:rsidRPr="008D55FB">
        <w:rPr>
          <w:rFonts w:ascii="Bookman Old Style" w:hAnsi="Bookman Old Style"/>
          <w:szCs w:val="24"/>
        </w:rPr>
        <w:t xml:space="preserve"> Officer</w:t>
      </w:r>
    </w:p>
    <w:p w14:paraId="3B0FD88B" w14:textId="77777777" w:rsidR="00774034" w:rsidRPr="008D55FB" w:rsidRDefault="00774034" w:rsidP="008D55FB">
      <w:pPr>
        <w:tabs>
          <w:tab w:val="left" w:pos="-1440"/>
          <w:tab w:val="left" w:pos="-720"/>
        </w:tabs>
        <w:rPr>
          <w:rFonts w:ascii="Bookman Old Style" w:hAnsi="Bookman Old Style"/>
          <w:szCs w:val="24"/>
        </w:rPr>
      </w:pPr>
    </w:p>
    <w:sectPr w:rsidR="00774034" w:rsidRPr="008D55FB">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0942" w14:textId="77777777" w:rsidR="00F31514" w:rsidRDefault="00F31514">
      <w:pPr>
        <w:widowControl/>
        <w:spacing w:line="20" w:lineRule="exact"/>
      </w:pPr>
    </w:p>
  </w:endnote>
  <w:endnote w:type="continuationSeparator" w:id="0">
    <w:p w14:paraId="309F38D0" w14:textId="77777777" w:rsidR="00F31514" w:rsidRDefault="00F31514">
      <w:r>
        <w:t xml:space="preserve"> </w:t>
      </w:r>
    </w:p>
  </w:endnote>
  <w:endnote w:type="continuationNotice" w:id="1">
    <w:p w14:paraId="04472930" w14:textId="77777777" w:rsidR="00F31514" w:rsidRDefault="00F315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143B1" w14:textId="77777777" w:rsidR="00F31514" w:rsidRDefault="00F31514">
      <w:r>
        <w:separator/>
      </w:r>
    </w:p>
  </w:footnote>
  <w:footnote w:type="continuationSeparator" w:id="0">
    <w:p w14:paraId="6AF84A10" w14:textId="77777777" w:rsidR="00F31514" w:rsidRDefault="00F3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1B808" w14:textId="1F14F1C8" w:rsidR="008B1CA2" w:rsidRPr="00172486" w:rsidRDefault="00083DB4">
    <w:pPr>
      <w:pStyle w:val="Header"/>
      <w:rPr>
        <w:rFonts w:ascii="Bookman Old Style" w:hAnsi="Bookman Old Style"/>
      </w:rPr>
    </w:pPr>
    <w:r>
      <w:rPr>
        <w:rFonts w:ascii="Bookman Old Style" w:hAnsi="Bookman Old Style"/>
      </w:rPr>
      <w:t>Docket</w:t>
    </w:r>
    <w:r w:rsidR="008D55FB">
      <w:rPr>
        <w:rFonts w:ascii="Bookman Old Style" w:hAnsi="Bookman Old Style"/>
      </w:rPr>
      <w:t xml:space="preserve"># </w:t>
    </w:r>
    <w:r w:rsidR="00BC6891">
      <w:rPr>
        <w:rFonts w:ascii="Bookman Old Style" w:hAnsi="Bookman Old Style"/>
      </w:rPr>
      <w:t>22 0506</w:t>
    </w:r>
  </w:p>
  <w:p w14:paraId="3CBDE45F" w14:textId="77777777" w:rsidR="008B1CA2" w:rsidRPr="00172486" w:rsidRDefault="008B1CA2">
    <w:pPr>
      <w:pStyle w:val="Header"/>
      <w:rPr>
        <w:rStyle w:val="PageNumber"/>
        <w:rFonts w:ascii="Bookman Old Style" w:hAnsi="Bookman Old Style"/>
      </w:rPr>
    </w:pPr>
    <w:r w:rsidRPr="00172486">
      <w:rPr>
        <w:rFonts w:ascii="Bookman Old Style" w:hAnsi="Bookman Old Style"/>
      </w:rPr>
      <w:t xml:space="preserve">Page </w:t>
    </w:r>
    <w:r w:rsidRPr="00172486">
      <w:rPr>
        <w:rStyle w:val="PageNumber"/>
        <w:rFonts w:ascii="Bookman Old Style" w:hAnsi="Bookman Old Style"/>
      </w:rPr>
      <w:fldChar w:fldCharType="begin"/>
    </w:r>
    <w:r w:rsidRPr="00172486">
      <w:rPr>
        <w:rStyle w:val="PageNumber"/>
        <w:rFonts w:ascii="Bookman Old Style" w:hAnsi="Bookman Old Style"/>
      </w:rPr>
      <w:instrText xml:space="preserve"> PAGE </w:instrText>
    </w:r>
    <w:r w:rsidRPr="00172486">
      <w:rPr>
        <w:rStyle w:val="PageNumber"/>
        <w:rFonts w:ascii="Bookman Old Style" w:hAnsi="Bookman Old Style"/>
      </w:rPr>
      <w:fldChar w:fldCharType="separate"/>
    </w:r>
    <w:r w:rsidR="004E768F">
      <w:rPr>
        <w:rStyle w:val="PageNumber"/>
        <w:rFonts w:ascii="Bookman Old Style" w:hAnsi="Bookman Old Style"/>
        <w:noProof/>
      </w:rPr>
      <w:t>3</w:t>
    </w:r>
    <w:r w:rsidRPr="00172486">
      <w:rPr>
        <w:rStyle w:val="PageNumber"/>
        <w:rFonts w:ascii="Bookman Old Style" w:hAnsi="Bookman Old Style"/>
      </w:rPr>
      <w:fldChar w:fldCharType="end"/>
    </w:r>
  </w:p>
  <w:p w14:paraId="5BEEE5B4"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21A20883"/>
    <w:multiLevelType w:val="hybridMultilevel"/>
    <w:tmpl w:val="3F96D5B8"/>
    <w:lvl w:ilvl="0" w:tplc="A4B2B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 w15:restartNumberingAfterBreak="0">
    <w:nsid w:val="452738CC"/>
    <w:multiLevelType w:val="hybridMultilevel"/>
    <w:tmpl w:val="A39ADAF0"/>
    <w:lvl w:ilvl="0" w:tplc="6888AB6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7"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0"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690335152">
    <w:abstractNumId w:val="6"/>
  </w:num>
  <w:num w:numId="2" w16cid:durableId="1880358980">
    <w:abstractNumId w:val="10"/>
  </w:num>
  <w:num w:numId="3" w16cid:durableId="1695376709">
    <w:abstractNumId w:val="0"/>
  </w:num>
  <w:num w:numId="4" w16cid:durableId="1287471813">
    <w:abstractNumId w:val="2"/>
  </w:num>
  <w:num w:numId="5" w16cid:durableId="1132289731">
    <w:abstractNumId w:val="11"/>
  </w:num>
  <w:num w:numId="6" w16cid:durableId="898635608">
    <w:abstractNumId w:val="4"/>
  </w:num>
  <w:num w:numId="7" w16cid:durableId="994794826">
    <w:abstractNumId w:val="9"/>
  </w:num>
  <w:num w:numId="8" w16cid:durableId="946501339">
    <w:abstractNumId w:val="1"/>
  </w:num>
  <w:num w:numId="9" w16cid:durableId="2007512571">
    <w:abstractNumId w:val="8"/>
  </w:num>
  <w:num w:numId="10" w16cid:durableId="784277471">
    <w:abstractNumId w:val="3"/>
  </w:num>
  <w:num w:numId="11" w16cid:durableId="1431004779">
    <w:abstractNumId w:val="5"/>
  </w:num>
  <w:num w:numId="12" w16cid:durableId="17972609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4"/>
    <w:rsid w:val="000075FA"/>
    <w:rsid w:val="0002414E"/>
    <w:rsid w:val="00043A6F"/>
    <w:rsid w:val="00083DB4"/>
    <w:rsid w:val="000D3B41"/>
    <w:rsid w:val="000F5712"/>
    <w:rsid w:val="00105365"/>
    <w:rsid w:val="0014088C"/>
    <w:rsid w:val="00172486"/>
    <w:rsid w:val="001B4C99"/>
    <w:rsid w:val="001E26C1"/>
    <w:rsid w:val="00240C1E"/>
    <w:rsid w:val="002A3C37"/>
    <w:rsid w:val="002C42D3"/>
    <w:rsid w:val="002D5A94"/>
    <w:rsid w:val="0032257B"/>
    <w:rsid w:val="00344FD9"/>
    <w:rsid w:val="0035283E"/>
    <w:rsid w:val="00382877"/>
    <w:rsid w:val="00396146"/>
    <w:rsid w:val="0040291B"/>
    <w:rsid w:val="00470A5B"/>
    <w:rsid w:val="004E768F"/>
    <w:rsid w:val="004F13A3"/>
    <w:rsid w:val="00555042"/>
    <w:rsid w:val="005A281D"/>
    <w:rsid w:val="005E6526"/>
    <w:rsid w:val="00653852"/>
    <w:rsid w:val="006D0CF8"/>
    <w:rsid w:val="007062F0"/>
    <w:rsid w:val="00712875"/>
    <w:rsid w:val="00774034"/>
    <w:rsid w:val="00796DE5"/>
    <w:rsid w:val="007A58C9"/>
    <w:rsid w:val="00814E0A"/>
    <w:rsid w:val="008B1CA2"/>
    <w:rsid w:val="008B5016"/>
    <w:rsid w:val="008D55FB"/>
    <w:rsid w:val="00907F46"/>
    <w:rsid w:val="009260EA"/>
    <w:rsid w:val="00950FC4"/>
    <w:rsid w:val="009743B7"/>
    <w:rsid w:val="009E78C1"/>
    <w:rsid w:val="009F7282"/>
    <w:rsid w:val="00A76C20"/>
    <w:rsid w:val="00AF72CD"/>
    <w:rsid w:val="00B317D0"/>
    <w:rsid w:val="00B91349"/>
    <w:rsid w:val="00BA7D6C"/>
    <w:rsid w:val="00BC6891"/>
    <w:rsid w:val="00C47467"/>
    <w:rsid w:val="00C861EB"/>
    <w:rsid w:val="00CD2B58"/>
    <w:rsid w:val="00D025D4"/>
    <w:rsid w:val="00D829CE"/>
    <w:rsid w:val="00D962E2"/>
    <w:rsid w:val="00DA59C2"/>
    <w:rsid w:val="00DD54FF"/>
    <w:rsid w:val="00E10DA5"/>
    <w:rsid w:val="00E137D6"/>
    <w:rsid w:val="00E56F09"/>
    <w:rsid w:val="00EB2E39"/>
    <w:rsid w:val="00EB781A"/>
    <w:rsid w:val="00EE134A"/>
    <w:rsid w:val="00EE1C29"/>
    <w:rsid w:val="00EF1CBC"/>
    <w:rsid w:val="00F3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BFA8F2B"/>
  <w15:chartTrackingRefBased/>
  <w15:docId w15:val="{4059EEA1-EAE2-44EA-AF8C-2ACC72B0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NormalWeb">
    <w:name w:val="Normal (Web)"/>
    <w:basedOn w:val="Normal"/>
    <w:uiPriority w:val="99"/>
    <w:unhideWhenUsed/>
    <w:rsid w:val="00B317D0"/>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B317D0"/>
    <w:rPr>
      <w:color w:val="0000FF"/>
      <w:u w:val="single"/>
    </w:rPr>
  </w:style>
  <w:style w:type="paragraph" w:styleId="BodyTextIndent">
    <w:name w:val="Body Text Indent"/>
    <w:basedOn w:val="Normal"/>
    <w:link w:val="BodyTextIndentChar"/>
    <w:uiPriority w:val="99"/>
    <w:unhideWhenUsed/>
    <w:rsid w:val="00B317D0"/>
    <w:pPr>
      <w:spacing w:after="120"/>
      <w:ind w:left="360"/>
    </w:pPr>
  </w:style>
  <w:style w:type="character" w:customStyle="1" w:styleId="BodyTextIndentChar">
    <w:name w:val="Body Text Indent Char"/>
    <w:link w:val="BodyTextIndent"/>
    <w:uiPriority w:val="99"/>
    <w:rsid w:val="00B317D0"/>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274944">
      <w:bodyDiv w:val="1"/>
      <w:marLeft w:val="0"/>
      <w:marRight w:val="0"/>
      <w:marTop w:val="0"/>
      <w:marBottom w:val="0"/>
      <w:divBdr>
        <w:top w:val="none" w:sz="0" w:space="0" w:color="auto"/>
        <w:left w:val="none" w:sz="0" w:space="0" w:color="auto"/>
        <w:bottom w:val="none" w:sz="0" w:space="0" w:color="auto"/>
        <w:right w:val="none" w:sz="0" w:space="0" w:color="auto"/>
      </w:divBdr>
    </w:div>
    <w:div w:id="139292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60%20Late%20Fi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 Late File</Template>
  <TotalTime>1</TotalTime>
  <Pages>5</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2022-07-26T19:15:00Z</cp:lastPrinted>
  <dcterms:created xsi:type="dcterms:W3CDTF">2022-07-26T19:16:00Z</dcterms:created>
  <dcterms:modified xsi:type="dcterms:W3CDTF">2022-07-26T19:16:00Z</dcterms:modified>
</cp:coreProperties>
</file>