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B823" w14:textId="40691ED0" w:rsidR="00EB0E9D" w:rsidRPr="00D82DF6" w:rsidRDefault="00310FE1"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drawing>
          <wp:anchor distT="0" distB="0" distL="114300" distR="114300" simplePos="0" relativeHeight="251657728" behindDoc="1" locked="0" layoutInCell="1" allowOverlap="1" wp14:anchorId="2B7A5A75" wp14:editId="0D5CE926">
            <wp:simplePos x="0" y="0"/>
            <wp:positionH relativeFrom="column">
              <wp:posOffset>-744220</wp:posOffset>
            </wp:positionH>
            <wp:positionV relativeFrom="paragraph">
              <wp:posOffset>-266065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360FF4D3"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1D3021E3"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A90D622"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173B9EF"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FB0C8A9"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C0ED622"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039BA61" w14:textId="77777777" w:rsidR="00EB0E9D" w:rsidRPr="00D82DF6" w:rsidRDefault="00EB0E9D" w:rsidP="00D82DF6">
      <w:pPr>
        <w:widowControl/>
        <w:tabs>
          <w:tab w:val="left" w:pos="-720"/>
        </w:tabs>
        <w:suppressAutoHyphens/>
        <w:rPr>
          <w:rFonts w:ascii="Bookman Old Style" w:hAnsi="Bookman Old Style"/>
          <w:szCs w:val="24"/>
        </w:rPr>
      </w:pPr>
    </w:p>
    <w:p w14:paraId="71B007E2"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092B51A1" w14:textId="77777777" w:rsidR="005A281D" w:rsidRPr="00D82DF6" w:rsidRDefault="005A281D" w:rsidP="00D82DF6">
      <w:pPr>
        <w:widowControl/>
        <w:tabs>
          <w:tab w:val="left" w:pos="-720"/>
        </w:tabs>
        <w:suppressAutoHyphens/>
        <w:rPr>
          <w:rFonts w:ascii="Bookman Old Style" w:hAnsi="Bookman Old Style"/>
          <w:szCs w:val="24"/>
        </w:rPr>
      </w:pPr>
    </w:p>
    <w:p w14:paraId="5DE74FF3" w14:textId="6E292CCB" w:rsidR="00441439"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971BD9">
        <w:rPr>
          <w:rFonts w:ascii="Bookman Old Style" w:hAnsi="Bookman Old Style"/>
          <w:szCs w:val="24"/>
        </w:rPr>
        <w:t>22 0665</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6E62E6">
        <w:rPr>
          <w:rFonts w:ascii="Bookman Old Style" w:hAnsi="Bookman Old Style"/>
          <w:szCs w:val="24"/>
        </w:rPr>
        <w:t>May 17, 2022</w:t>
      </w:r>
    </w:p>
    <w:p w14:paraId="078CF4C6" w14:textId="26F5707B" w:rsidR="0026159C" w:rsidRPr="00D82DF6" w:rsidRDefault="0026159C" w:rsidP="00971BD9">
      <w:pPr>
        <w:widowControl/>
        <w:tabs>
          <w:tab w:val="center" w:pos="4680"/>
        </w:tabs>
        <w:suppressAutoHyphens/>
        <w:outlineLvl w:val="0"/>
        <w:rPr>
          <w:rFonts w:ascii="Bookman Old Style" w:hAnsi="Bookman Old Style"/>
          <w:szCs w:val="24"/>
        </w:rPr>
      </w:pPr>
      <w:r>
        <w:rPr>
          <w:rFonts w:ascii="Bookman Old Style" w:hAnsi="Bookman Old Style"/>
          <w:szCs w:val="24"/>
        </w:rPr>
        <w:t xml:space="preserve">                         </w:t>
      </w:r>
      <w:r w:rsidR="00971BD9">
        <w:rPr>
          <w:rFonts w:ascii="Bookman Old Style" w:hAnsi="Bookman Old Style"/>
          <w:szCs w:val="24"/>
        </w:rPr>
        <w:t xml:space="preserve"> Previously: 21 2032</w:t>
      </w:r>
      <w:r>
        <w:rPr>
          <w:rFonts w:ascii="Bookman Old Style" w:hAnsi="Bookman Old Style"/>
          <w:szCs w:val="24"/>
        </w:rPr>
        <w:t xml:space="preserve">                         </w:t>
      </w:r>
      <w:r w:rsidR="00971BD9">
        <w:rPr>
          <w:rFonts w:ascii="Bookman Old Style" w:hAnsi="Bookman Old Style"/>
          <w:szCs w:val="24"/>
        </w:rPr>
        <w:t xml:space="preserve">   </w:t>
      </w:r>
      <w:r>
        <w:rPr>
          <w:rFonts w:ascii="Bookman Old Style" w:hAnsi="Bookman Old Style"/>
          <w:szCs w:val="24"/>
        </w:rPr>
        <w:t xml:space="preserve">August 2, 2022              </w:t>
      </w:r>
    </w:p>
    <w:p w14:paraId="0DF2FB8A"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DA8A3F1"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09A620FB"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4D87FCEA" w14:textId="1CDA7D39" w:rsidR="006E62E6" w:rsidRPr="006E62E6" w:rsidRDefault="006E62E6" w:rsidP="006E62E6">
      <w:pPr>
        <w:widowControl/>
        <w:tabs>
          <w:tab w:val="left" w:pos="-1440"/>
          <w:tab w:val="left" w:pos="-720"/>
          <w:tab w:val="left" w:pos="0"/>
          <w:tab w:val="left" w:pos="5760"/>
        </w:tabs>
        <w:suppressAutoHyphens/>
        <w:ind w:right="-360"/>
        <w:rPr>
          <w:rFonts w:ascii="Bookman Old Style" w:hAnsi="Bookman Old Style"/>
          <w:szCs w:val="24"/>
        </w:rPr>
      </w:pPr>
      <w:r w:rsidRPr="006E62E6">
        <w:rPr>
          <w:rFonts w:ascii="Bookman Old Style" w:hAnsi="Bookman Old Style"/>
          <w:szCs w:val="24"/>
        </w:rPr>
        <w:t>MICHELLE MORLEY</w:t>
      </w:r>
      <w:r>
        <w:rPr>
          <w:rFonts w:ascii="Bookman Old Style" w:hAnsi="Bookman Old Style"/>
          <w:szCs w:val="24"/>
        </w:rPr>
        <w:tab/>
      </w:r>
      <w:r w:rsidRPr="006E62E6">
        <w:rPr>
          <w:rFonts w:ascii="Bookman Old Style" w:hAnsi="Bookman Old Style"/>
          <w:szCs w:val="24"/>
        </w:rPr>
        <w:t xml:space="preserve">NORTHERN OAKS BIRD AND </w:t>
      </w:r>
    </w:p>
    <w:p w14:paraId="74FE7831" w14:textId="5EDAE977" w:rsidR="006E62E6" w:rsidRPr="006E62E6" w:rsidRDefault="006E62E6" w:rsidP="006E62E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r w:rsidRPr="006E62E6">
        <w:rPr>
          <w:rFonts w:ascii="Bookman Old Style" w:hAnsi="Bookman Old Style"/>
          <w:szCs w:val="24"/>
        </w:rPr>
        <w:t>ANIMAL HOSPI</w:t>
      </w:r>
      <w:r>
        <w:rPr>
          <w:rFonts w:ascii="Bookman Old Style" w:hAnsi="Bookman Old Style"/>
          <w:szCs w:val="24"/>
        </w:rPr>
        <w:t>TAL</w:t>
      </w:r>
    </w:p>
    <w:p w14:paraId="75304B13" w14:textId="0F3B6D8C" w:rsidR="006E62E6" w:rsidRDefault="006E62E6" w:rsidP="00D82DF6">
      <w:pPr>
        <w:widowControl/>
        <w:tabs>
          <w:tab w:val="left" w:pos="-1440"/>
          <w:tab w:val="left" w:pos="-720"/>
          <w:tab w:val="left" w:pos="0"/>
          <w:tab w:val="left" w:pos="5760"/>
        </w:tabs>
        <w:suppressAutoHyphens/>
        <w:ind w:right="-360"/>
        <w:rPr>
          <w:rFonts w:ascii="Bookman Old Style" w:hAnsi="Bookman Old Style"/>
          <w:szCs w:val="24"/>
        </w:rPr>
      </w:pPr>
    </w:p>
    <w:p w14:paraId="75E65C3D" w14:textId="216D7BD6" w:rsidR="00310FE1" w:rsidRDefault="00310FE1" w:rsidP="00D82DF6">
      <w:pPr>
        <w:widowControl/>
        <w:tabs>
          <w:tab w:val="left" w:pos="-1440"/>
          <w:tab w:val="left" w:pos="-720"/>
          <w:tab w:val="left" w:pos="0"/>
          <w:tab w:val="left" w:pos="5760"/>
        </w:tabs>
        <w:suppressAutoHyphens/>
        <w:ind w:right="-360"/>
        <w:rPr>
          <w:rFonts w:ascii="Bookman Old Style" w:hAnsi="Bookman Old Style"/>
          <w:szCs w:val="24"/>
        </w:rPr>
      </w:pPr>
    </w:p>
    <w:p w14:paraId="003474F9" w14:textId="77777777" w:rsidR="00310FE1" w:rsidRPr="00D82DF6" w:rsidRDefault="00310FE1" w:rsidP="00D82DF6">
      <w:pPr>
        <w:widowControl/>
        <w:tabs>
          <w:tab w:val="left" w:pos="-1440"/>
          <w:tab w:val="left" w:pos="-720"/>
          <w:tab w:val="left" w:pos="0"/>
          <w:tab w:val="left" w:pos="5760"/>
        </w:tabs>
        <w:suppressAutoHyphens/>
        <w:ind w:right="-360"/>
        <w:rPr>
          <w:rFonts w:ascii="Bookman Old Style" w:hAnsi="Bookman Old Style"/>
          <w:szCs w:val="24"/>
        </w:rPr>
      </w:pPr>
    </w:p>
    <w:p w14:paraId="78BA2F41"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19B3D34A"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22BD8F55" w14:textId="28408F4E" w:rsidR="00441439" w:rsidRPr="00D82DF6" w:rsidRDefault="006E62E6"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Michelle Morely</w:t>
      </w:r>
      <w:r w:rsidR="00441439" w:rsidRPr="00D82DF6">
        <w:rPr>
          <w:rFonts w:ascii="Bookman Old Style" w:hAnsi="Bookman Old Style"/>
          <w:szCs w:val="24"/>
        </w:rPr>
        <w:tab/>
      </w:r>
      <w:r w:rsidR="0026159C">
        <w:rPr>
          <w:rFonts w:ascii="Bookman Old Style" w:hAnsi="Bookman Old Style"/>
          <w:szCs w:val="24"/>
        </w:rPr>
        <w:t>Dianna Mendez</w:t>
      </w:r>
    </w:p>
    <w:p w14:paraId="2E4E01C1"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01A61804"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5BF40F31" w14:textId="77777777" w:rsidR="00441439" w:rsidRPr="00D82DF6" w:rsidRDefault="00441439" w:rsidP="00D82DF6">
      <w:pPr>
        <w:tabs>
          <w:tab w:val="left" w:pos="-1440"/>
          <w:tab w:val="left" w:pos="-720"/>
        </w:tabs>
        <w:rPr>
          <w:rFonts w:ascii="Bookman Old Style" w:hAnsi="Bookman Old Style"/>
          <w:szCs w:val="24"/>
        </w:rPr>
      </w:pPr>
    </w:p>
    <w:p w14:paraId="3CF7BE6B" w14:textId="2D450FB8" w:rsidR="00441439"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6E62E6">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 a</w:t>
      </w:r>
      <w:r w:rsidR="00395387">
        <w:rPr>
          <w:rFonts w:ascii="Bookman Old Style" w:hAnsi="Bookman Old Style"/>
          <w:snapToGrid/>
          <w:szCs w:val="24"/>
        </w:rPr>
        <w:t>n</w:t>
      </w:r>
      <w:r w:rsidRPr="00D82DF6">
        <w:rPr>
          <w:rFonts w:ascii="Bookman Old Style" w:hAnsi="Bookman Old Style"/>
          <w:snapToGrid/>
          <w:szCs w:val="24"/>
        </w:rPr>
        <w:t xml:space="preserve"> </w:t>
      </w:r>
      <w:r w:rsidR="006E62E6">
        <w:rPr>
          <w:rFonts w:ascii="Bookman Old Style" w:hAnsi="Bookman Old Style"/>
          <w:snapToGrid/>
          <w:szCs w:val="24"/>
        </w:rPr>
        <w:t>October 8, 2021</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4D78BF9D" w14:textId="06ABBDBA" w:rsidR="0026159C" w:rsidRPr="00D82DF6" w:rsidRDefault="0026159C" w:rsidP="00D82DF6">
      <w:pPr>
        <w:widowControl/>
        <w:spacing w:after="200"/>
        <w:rPr>
          <w:rFonts w:ascii="Bookman Old Style" w:hAnsi="Bookman Old Style"/>
          <w:snapToGrid/>
          <w:szCs w:val="24"/>
        </w:rPr>
      </w:pPr>
      <w:r>
        <w:rPr>
          <w:rFonts w:ascii="Bookman Old Style" w:hAnsi="Bookman Old Style"/>
          <w:snapToGrid/>
          <w:szCs w:val="24"/>
        </w:rPr>
        <w:t>A hearing was held on May 17, 2022 with only the claimant appellant participating</w:t>
      </w:r>
      <w:r w:rsidR="00B66A35">
        <w:rPr>
          <w:rFonts w:ascii="Bookman Old Style" w:hAnsi="Bookman Old Style"/>
          <w:snapToGrid/>
          <w:szCs w:val="24"/>
        </w:rPr>
        <w:t>.</w:t>
      </w:r>
      <w:r>
        <w:rPr>
          <w:rFonts w:ascii="Bookman Old Style" w:hAnsi="Bookman Old Style"/>
          <w:snapToGrid/>
          <w:szCs w:val="24"/>
        </w:rPr>
        <w:t xml:space="preserve"> A decision was issued May 27, 2022, reversing the Division’s determination and allowing the claimant’s benefits without penalty. The hearing was reopened</w:t>
      </w:r>
      <w:r w:rsidR="00B66A35">
        <w:rPr>
          <w:rFonts w:ascii="Bookman Old Style" w:hAnsi="Bookman Old Style"/>
          <w:snapToGrid/>
          <w:szCs w:val="24"/>
        </w:rPr>
        <w:t xml:space="preserve"> for the employer’s participation </w:t>
      </w:r>
      <w:r>
        <w:rPr>
          <w:rFonts w:ascii="Bookman Old Style" w:hAnsi="Bookman Old Style"/>
          <w:snapToGrid/>
          <w:szCs w:val="24"/>
        </w:rPr>
        <w:t xml:space="preserve">in a decision issued June 24, 2022. The decision issued </w:t>
      </w:r>
      <w:r w:rsidR="00971BD9">
        <w:rPr>
          <w:rFonts w:ascii="Bookman Old Style" w:hAnsi="Bookman Old Style"/>
          <w:snapToGrid/>
          <w:szCs w:val="24"/>
        </w:rPr>
        <w:t xml:space="preserve">in docket number 21 2032 on                </w:t>
      </w:r>
      <w:r>
        <w:rPr>
          <w:rFonts w:ascii="Bookman Old Style" w:hAnsi="Bookman Old Style"/>
          <w:snapToGrid/>
          <w:szCs w:val="24"/>
        </w:rPr>
        <w:t>May 27, 2022 is hereby vacated.</w:t>
      </w:r>
    </w:p>
    <w:p w14:paraId="0750D83B"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4383FC3E" w14:textId="77777777" w:rsidR="00441439" w:rsidRPr="00D82DF6" w:rsidRDefault="00441439" w:rsidP="00D82DF6">
      <w:pPr>
        <w:tabs>
          <w:tab w:val="left" w:pos="-1440"/>
          <w:tab w:val="left" w:pos="-720"/>
        </w:tabs>
        <w:rPr>
          <w:rFonts w:ascii="Bookman Old Style" w:hAnsi="Bookman Old Style"/>
          <w:szCs w:val="24"/>
        </w:rPr>
      </w:pPr>
    </w:p>
    <w:p w14:paraId="30FD0A8C" w14:textId="3A015D45"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The claimant began work for the employer</w:t>
      </w:r>
      <w:r w:rsidR="0026159C">
        <w:rPr>
          <w:rFonts w:ascii="Bookman Old Style" w:hAnsi="Bookman Old Style"/>
          <w:snapToGrid/>
          <w:szCs w:val="24"/>
        </w:rPr>
        <w:t xml:space="preserve"> on August 30, </w:t>
      </w:r>
      <w:r w:rsidR="006E62E6">
        <w:rPr>
          <w:rFonts w:ascii="Bookman Old Style" w:hAnsi="Bookman Old Style"/>
          <w:snapToGrid/>
          <w:szCs w:val="24"/>
        </w:rPr>
        <w:t>2021</w:t>
      </w:r>
      <w:r w:rsidRPr="00D82DF6">
        <w:rPr>
          <w:rFonts w:ascii="Bookman Old Style" w:hAnsi="Bookman Old Style"/>
          <w:snapToGrid/>
          <w:szCs w:val="24"/>
        </w:rPr>
        <w:t xml:space="preserve">. </w:t>
      </w:r>
      <w:r w:rsidR="006E62E6">
        <w:rPr>
          <w:rFonts w:ascii="Bookman Old Style" w:hAnsi="Bookman Old Style"/>
          <w:snapToGrid/>
          <w:szCs w:val="24"/>
        </w:rPr>
        <w:t>She</w:t>
      </w:r>
      <w:r w:rsidRPr="00D82DF6">
        <w:rPr>
          <w:rFonts w:ascii="Bookman Old Style" w:hAnsi="Bookman Old Style"/>
          <w:snapToGrid/>
          <w:szCs w:val="24"/>
        </w:rPr>
        <w:t xml:space="preserve"> last worked on </w:t>
      </w:r>
      <w:r w:rsidR="006E62E6">
        <w:rPr>
          <w:rFonts w:ascii="Bookman Old Style" w:hAnsi="Bookman Old Style"/>
          <w:snapToGrid/>
          <w:szCs w:val="24"/>
        </w:rPr>
        <w:t>September 7, 2021</w:t>
      </w:r>
      <w:r w:rsidRPr="00D82DF6">
        <w:rPr>
          <w:rFonts w:ascii="Bookman Old Style" w:hAnsi="Bookman Old Style"/>
          <w:snapToGrid/>
          <w:szCs w:val="24"/>
        </w:rPr>
        <w:t xml:space="preserve">. At that time, </w:t>
      </w:r>
      <w:r w:rsidR="006E62E6">
        <w:rPr>
          <w:rFonts w:ascii="Bookman Old Style" w:hAnsi="Bookman Old Style"/>
          <w:snapToGrid/>
          <w:szCs w:val="24"/>
        </w:rPr>
        <w:t>she</w:t>
      </w:r>
      <w:r w:rsidRPr="00D82DF6">
        <w:rPr>
          <w:rFonts w:ascii="Bookman Old Style" w:hAnsi="Bookman Old Style"/>
          <w:snapToGrid/>
          <w:szCs w:val="24"/>
        </w:rPr>
        <w:t xml:space="preserve"> </w:t>
      </w:r>
      <w:r w:rsidR="00995AAF">
        <w:rPr>
          <w:rFonts w:ascii="Bookman Old Style" w:hAnsi="Bookman Old Style"/>
          <w:snapToGrid/>
          <w:szCs w:val="24"/>
        </w:rPr>
        <w:t>was training to work</w:t>
      </w:r>
      <w:r w:rsidRPr="00D82DF6">
        <w:rPr>
          <w:rFonts w:ascii="Bookman Old Style" w:hAnsi="Bookman Old Style"/>
          <w:snapToGrid/>
          <w:szCs w:val="24"/>
        </w:rPr>
        <w:t xml:space="preserve"> </w:t>
      </w:r>
      <w:r w:rsidR="0026159C">
        <w:rPr>
          <w:rFonts w:ascii="Bookman Old Style" w:hAnsi="Bookman Old Style"/>
          <w:snapToGrid/>
          <w:szCs w:val="24"/>
        </w:rPr>
        <w:t>full</w:t>
      </w:r>
      <w:r w:rsidR="006E62E6">
        <w:rPr>
          <w:rFonts w:ascii="Bookman Old Style" w:hAnsi="Bookman Old Style"/>
          <w:snapToGrid/>
          <w:szCs w:val="24"/>
        </w:rPr>
        <w:t>-time</w:t>
      </w:r>
      <w:r w:rsidRPr="00D82DF6">
        <w:rPr>
          <w:rFonts w:ascii="Bookman Old Style" w:hAnsi="Bookman Old Style"/>
          <w:snapToGrid/>
          <w:szCs w:val="24"/>
        </w:rPr>
        <w:t xml:space="preserve"> as a </w:t>
      </w:r>
      <w:r w:rsidR="00995AAF">
        <w:rPr>
          <w:rFonts w:ascii="Bookman Old Style" w:hAnsi="Bookman Old Style"/>
          <w:snapToGrid/>
          <w:szCs w:val="24"/>
        </w:rPr>
        <w:t>client care specialist</w:t>
      </w:r>
      <w:r w:rsidRPr="00D82DF6">
        <w:rPr>
          <w:rFonts w:ascii="Bookman Old Style" w:hAnsi="Bookman Old Style"/>
          <w:snapToGrid/>
          <w:szCs w:val="24"/>
        </w:rPr>
        <w:t>.</w:t>
      </w:r>
      <w:r w:rsidR="006E62E6">
        <w:rPr>
          <w:rFonts w:ascii="Bookman Old Style" w:hAnsi="Bookman Old Style"/>
          <w:snapToGrid/>
          <w:szCs w:val="24"/>
        </w:rPr>
        <w:t xml:space="preserve"> </w:t>
      </w:r>
    </w:p>
    <w:p w14:paraId="6240EFE3" w14:textId="538E09EB" w:rsidR="006E62E6" w:rsidRDefault="006E62E6"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has a medical issue that places her at risk for serious complication </w:t>
      </w:r>
      <w:r w:rsidR="00395387">
        <w:rPr>
          <w:rFonts w:ascii="Bookman Old Style" w:hAnsi="Bookman Old Style"/>
          <w:snapToGrid/>
          <w:szCs w:val="24"/>
        </w:rPr>
        <w:t xml:space="preserve">or death </w:t>
      </w:r>
      <w:r>
        <w:rPr>
          <w:rFonts w:ascii="Bookman Old Style" w:hAnsi="Bookman Old Style"/>
          <w:snapToGrid/>
          <w:szCs w:val="24"/>
        </w:rPr>
        <w:t xml:space="preserve">from the COVID-19 virus.  </w:t>
      </w:r>
      <w:r w:rsidR="00F23112">
        <w:rPr>
          <w:rFonts w:ascii="Bookman Old Style" w:hAnsi="Bookman Old Style"/>
          <w:snapToGrid/>
          <w:szCs w:val="24"/>
        </w:rPr>
        <w:t xml:space="preserve">The claimant had a reaction to her first COVID-19 vaccination and her doctor advised she delay becoming fully </w:t>
      </w:r>
      <w:r w:rsidR="00395387">
        <w:rPr>
          <w:rFonts w:ascii="Bookman Old Style" w:hAnsi="Bookman Old Style"/>
          <w:snapToGrid/>
          <w:szCs w:val="24"/>
        </w:rPr>
        <w:t>vaccinated</w:t>
      </w:r>
      <w:r w:rsidR="00F23112">
        <w:rPr>
          <w:rFonts w:ascii="Bookman Old Style" w:hAnsi="Bookman Old Style"/>
          <w:snapToGrid/>
          <w:szCs w:val="24"/>
        </w:rPr>
        <w:t>. The claimant live</w:t>
      </w:r>
      <w:r w:rsidR="00995AAF">
        <w:rPr>
          <w:rFonts w:ascii="Bookman Old Style" w:hAnsi="Bookman Old Style"/>
          <w:snapToGrid/>
          <w:szCs w:val="24"/>
        </w:rPr>
        <w:t>s</w:t>
      </w:r>
      <w:r w:rsidR="00F23112">
        <w:rPr>
          <w:rFonts w:ascii="Bookman Old Style" w:hAnsi="Bookman Old Style"/>
          <w:snapToGrid/>
          <w:szCs w:val="24"/>
        </w:rPr>
        <w:t xml:space="preserve"> with her mother, who has serious health complications and was advised her doctor to avoid exposure</w:t>
      </w:r>
      <w:r w:rsidR="00395387">
        <w:rPr>
          <w:rFonts w:ascii="Bookman Old Style" w:hAnsi="Bookman Old Style"/>
          <w:snapToGrid/>
          <w:szCs w:val="24"/>
        </w:rPr>
        <w:t xml:space="preserve"> to the virus</w:t>
      </w:r>
      <w:r w:rsidR="00F23112">
        <w:rPr>
          <w:rFonts w:ascii="Bookman Old Style" w:hAnsi="Bookman Old Style"/>
          <w:snapToGrid/>
          <w:szCs w:val="24"/>
        </w:rPr>
        <w:t xml:space="preserve">. The </w:t>
      </w:r>
      <w:r w:rsidR="00F23112">
        <w:rPr>
          <w:rFonts w:ascii="Bookman Old Style" w:hAnsi="Bookman Old Style"/>
          <w:snapToGrid/>
          <w:szCs w:val="24"/>
        </w:rPr>
        <w:lastRenderedPageBreak/>
        <w:t xml:space="preserve">claimant also has two children at home, one of which is too young to be vaccinated against the COVID-19 virus. </w:t>
      </w:r>
    </w:p>
    <w:p w14:paraId="392F562E" w14:textId="0871B1DE" w:rsidR="00581B6D" w:rsidRDefault="00581B6D"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employer followed local COVID-19 mandates</w:t>
      </w:r>
      <w:r w:rsidR="00ED0B0E">
        <w:rPr>
          <w:rFonts w:ascii="Bookman Old Style" w:hAnsi="Bookman Old Style"/>
          <w:snapToGrid/>
          <w:szCs w:val="24"/>
        </w:rPr>
        <w:t xml:space="preserve">, limited access to the </w:t>
      </w:r>
      <w:r w:rsidR="00135FD1">
        <w:rPr>
          <w:rFonts w:ascii="Bookman Old Style" w:hAnsi="Bookman Old Style"/>
          <w:snapToGrid/>
          <w:szCs w:val="24"/>
        </w:rPr>
        <w:t>facility</w:t>
      </w:r>
      <w:r w:rsidR="00ED0B0E">
        <w:rPr>
          <w:rFonts w:ascii="Bookman Old Style" w:hAnsi="Bookman Old Style"/>
          <w:snapToGrid/>
          <w:szCs w:val="24"/>
        </w:rPr>
        <w:t xml:space="preserve"> by going out to get patients from customer’s cars, wiped down surfaces on a regular schedule and required masks inside the </w:t>
      </w:r>
      <w:r w:rsidR="00135FD1">
        <w:rPr>
          <w:rFonts w:ascii="Bookman Old Style" w:hAnsi="Bookman Old Style"/>
          <w:snapToGrid/>
          <w:szCs w:val="24"/>
        </w:rPr>
        <w:t>facility</w:t>
      </w:r>
      <w:r>
        <w:rPr>
          <w:rFonts w:ascii="Bookman Old Style" w:hAnsi="Bookman Old Style"/>
          <w:snapToGrid/>
          <w:szCs w:val="24"/>
        </w:rPr>
        <w:t xml:space="preserve">. </w:t>
      </w:r>
      <w:r w:rsidR="00ED0B0E">
        <w:rPr>
          <w:rFonts w:ascii="Bookman Old Style" w:hAnsi="Bookman Old Style"/>
          <w:snapToGrid/>
          <w:szCs w:val="24"/>
        </w:rPr>
        <w:t xml:space="preserve">The claimant was only required to serve a limited number of patients </w:t>
      </w:r>
      <w:r w:rsidR="00DD3196">
        <w:rPr>
          <w:rFonts w:ascii="Bookman Old Style" w:hAnsi="Bookman Old Style"/>
          <w:snapToGrid/>
          <w:szCs w:val="24"/>
        </w:rPr>
        <w:t xml:space="preserve">face to face </w:t>
      </w:r>
      <w:r w:rsidR="00ED0B0E">
        <w:rPr>
          <w:rFonts w:ascii="Bookman Old Style" w:hAnsi="Bookman Old Style"/>
          <w:snapToGrid/>
          <w:szCs w:val="24"/>
        </w:rPr>
        <w:t xml:space="preserve">when they paid for services. </w:t>
      </w:r>
    </w:p>
    <w:p w14:paraId="768A701A" w14:textId="037F29CD" w:rsidR="00D82DF6" w:rsidRDefault="00581B6D"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her last day of work, the claimant developed symptoms that could be associated with the COVID-19 virus.  She was tested and was negative for the virus.  The claimant decided the work was too risky considering the contagious nature of the virus, the customer contact </w:t>
      </w:r>
      <w:r w:rsidR="007604B3">
        <w:rPr>
          <w:rFonts w:ascii="Bookman Old Style" w:hAnsi="Bookman Old Style"/>
          <w:snapToGrid/>
          <w:szCs w:val="24"/>
        </w:rPr>
        <w:t xml:space="preserve">required </w:t>
      </w:r>
      <w:r>
        <w:rPr>
          <w:rFonts w:ascii="Bookman Old Style" w:hAnsi="Bookman Old Style"/>
          <w:snapToGrid/>
          <w:szCs w:val="24"/>
        </w:rPr>
        <w:t xml:space="preserve">and the health </w:t>
      </w:r>
      <w:r w:rsidR="00995AAF">
        <w:rPr>
          <w:rFonts w:ascii="Bookman Old Style" w:hAnsi="Bookman Old Style"/>
          <w:snapToGrid/>
          <w:szCs w:val="24"/>
        </w:rPr>
        <w:t>of</w:t>
      </w:r>
      <w:r>
        <w:rPr>
          <w:rFonts w:ascii="Bookman Old Style" w:hAnsi="Bookman Old Style"/>
          <w:snapToGrid/>
          <w:szCs w:val="24"/>
        </w:rPr>
        <w:t xml:space="preserve"> herself, her mother and her young child. </w:t>
      </w:r>
      <w:r w:rsidR="00ED0B0E">
        <w:rPr>
          <w:rFonts w:ascii="Bookman Old Style" w:hAnsi="Bookman Old Style"/>
          <w:snapToGrid/>
          <w:szCs w:val="24"/>
        </w:rPr>
        <w:t xml:space="preserve">The claimant noted that she was </w:t>
      </w:r>
      <w:r w:rsidR="00E77931">
        <w:rPr>
          <w:rFonts w:ascii="Bookman Old Style" w:hAnsi="Bookman Old Style"/>
          <w:snapToGrid/>
          <w:szCs w:val="24"/>
        </w:rPr>
        <w:t xml:space="preserve">not </w:t>
      </w:r>
      <w:r w:rsidR="00ED0B0E">
        <w:rPr>
          <w:rFonts w:ascii="Bookman Old Style" w:hAnsi="Bookman Old Style"/>
          <w:snapToGrid/>
          <w:szCs w:val="24"/>
        </w:rPr>
        <w:t xml:space="preserve">eligible for a leave of absence according to the employer’s </w:t>
      </w:r>
      <w:r w:rsidR="00995AAF">
        <w:rPr>
          <w:rFonts w:ascii="Bookman Old Style" w:hAnsi="Bookman Old Style"/>
          <w:snapToGrid/>
          <w:szCs w:val="24"/>
        </w:rPr>
        <w:t xml:space="preserve">written </w:t>
      </w:r>
      <w:r w:rsidR="00ED0B0E">
        <w:rPr>
          <w:rFonts w:ascii="Bookman Old Style" w:hAnsi="Bookman Old Style"/>
          <w:snapToGrid/>
          <w:szCs w:val="24"/>
        </w:rPr>
        <w:t xml:space="preserve">policies. She did not ask if other </w:t>
      </w:r>
      <w:r w:rsidR="00E77931">
        <w:rPr>
          <w:rFonts w:ascii="Bookman Old Style" w:hAnsi="Bookman Old Style"/>
          <w:snapToGrid/>
          <w:szCs w:val="24"/>
        </w:rPr>
        <w:t xml:space="preserve">less public </w:t>
      </w:r>
      <w:r w:rsidR="00ED0B0E">
        <w:rPr>
          <w:rFonts w:ascii="Bookman Old Style" w:hAnsi="Bookman Old Style"/>
          <w:snapToGrid/>
          <w:szCs w:val="24"/>
        </w:rPr>
        <w:t>work was available. The employer may have had work available at an isolated desk where the claimant could answer phones</w:t>
      </w:r>
      <w:r w:rsidR="00815AF1">
        <w:rPr>
          <w:rFonts w:ascii="Bookman Old Style" w:hAnsi="Bookman Old Style"/>
          <w:snapToGrid/>
          <w:szCs w:val="24"/>
        </w:rPr>
        <w:t xml:space="preserve">. The employer held that they </w:t>
      </w:r>
      <w:r w:rsidR="00995AAF">
        <w:rPr>
          <w:rFonts w:ascii="Bookman Old Style" w:hAnsi="Bookman Old Style"/>
          <w:snapToGrid/>
          <w:szCs w:val="24"/>
        </w:rPr>
        <w:t xml:space="preserve">also </w:t>
      </w:r>
      <w:r w:rsidR="00815AF1">
        <w:rPr>
          <w:rFonts w:ascii="Bookman Old Style" w:hAnsi="Bookman Old Style"/>
          <w:snapToGrid/>
          <w:szCs w:val="24"/>
        </w:rPr>
        <w:t>may have allowed a leave of absence outside of their normal written policy, but the claimant did not ask</w:t>
      </w:r>
      <w:r>
        <w:rPr>
          <w:rFonts w:ascii="Bookman Old Style" w:hAnsi="Bookman Old Style"/>
          <w:snapToGrid/>
          <w:szCs w:val="24"/>
        </w:rPr>
        <w:t>.</w:t>
      </w:r>
      <w:r w:rsidR="007604B3">
        <w:rPr>
          <w:rFonts w:ascii="Bookman Old Style" w:hAnsi="Bookman Old Style"/>
          <w:snapToGrid/>
          <w:szCs w:val="24"/>
        </w:rPr>
        <w:t xml:space="preserve"> The claimant resigned effective immediately</w:t>
      </w:r>
      <w:r w:rsidR="00ED0B0E">
        <w:rPr>
          <w:rFonts w:ascii="Bookman Old Style" w:hAnsi="Bookman Old Style"/>
          <w:snapToGrid/>
          <w:szCs w:val="24"/>
        </w:rPr>
        <w:t xml:space="preserve"> due to her health concerns</w:t>
      </w:r>
      <w:r w:rsidR="00E77931">
        <w:rPr>
          <w:rFonts w:ascii="Bookman Old Style" w:hAnsi="Bookman Old Style"/>
          <w:snapToGrid/>
          <w:szCs w:val="24"/>
        </w:rPr>
        <w:t xml:space="preserve"> and did not tell her employer why she was leaving the work</w:t>
      </w:r>
      <w:r w:rsidR="007604B3">
        <w:rPr>
          <w:rFonts w:ascii="Bookman Old Style" w:hAnsi="Bookman Old Style"/>
          <w:snapToGrid/>
          <w:szCs w:val="24"/>
        </w:rPr>
        <w:t>.</w:t>
      </w:r>
    </w:p>
    <w:p w14:paraId="37FB8E15"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48868030" w14:textId="77777777" w:rsidR="005A281D" w:rsidRPr="00D82DF6" w:rsidRDefault="005A281D" w:rsidP="00D82DF6">
      <w:pPr>
        <w:tabs>
          <w:tab w:val="left" w:pos="-1440"/>
          <w:tab w:val="left" w:pos="-720"/>
        </w:tabs>
        <w:rPr>
          <w:rFonts w:ascii="Bookman Old Style" w:hAnsi="Bookman Old Style"/>
          <w:szCs w:val="24"/>
        </w:rPr>
      </w:pPr>
    </w:p>
    <w:p w14:paraId="6AF092FE"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2A440725"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4CEB90BE" w14:textId="6B5CC537" w:rsidR="003E7E91" w:rsidRPr="00D82DF6" w:rsidRDefault="003E7E91" w:rsidP="007604B3">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041CA590"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5A08454D" w14:textId="77777777" w:rsidR="003E7E91" w:rsidRPr="00D82DF6" w:rsidRDefault="003E7E91" w:rsidP="00D82DF6">
      <w:pPr>
        <w:tabs>
          <w:tab w:val="left" w:pos="-1440"/>
          <w:tab w:val="left" w:pos="-720"/>
        </w:tabs>
        <w:rPr>
          <w:rFonts w:ascii="Bookman Old Style" w:hAnsi="Bookman Old Style"/>
          <w:szCs w:val="24"/>
        </w:rPr>
      </w:pPr>
    </w:p>
    <w:p w14:paraId="0A577976"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58DB5937"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71FA7968"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5EAE8589" w14:textId="6106CB6F" w:rsidR="003E7E91" w:rsidRPr="00D82DF6" w:rsidRDefault="003E7E91" w:rsidP="007604B3">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6845CD81"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58E9CDEA"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1C8D741C"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w:t>
      </w:r>
      <w:r w:rsidRPr="00D82DF6">
        <w:rPr>
          <w:rFonts w:ascii="Bookman Old Style" w:hAnsi="Bookman Old Style"/>
          <w:snapToGrid/>
          <w:szCs w:val="24"/>
        </w:rPr>
        <w:lastRenderedPageBreak/>
        <w:t>claimant has no other reasonable alternative but to leave work;</w:t>
      </w:r>
    </w:p>
    <w:p w14:paraId="79AC1170"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5925E987"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1E7CB2FE"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30EB70AC"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534E4B61"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14:paraId="7DAE9A5B"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14:paraId="2E649842"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6431F7E9"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6C00A0F9"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6F2C6FE8" w14:textId="77777777" w:rsidR="003E7E91" w:rsidRPr="00D82DF6" w:rsidRDefault="003E7E91" w:rsidP="00D82DF6">
      <w:pPr>
        <w:widowControl/>
        <w:autoSpaceDE w:val="0"/>
        <w:autoSpaceDN w:val="0"/>
        <w:adjustRightInd w:val="0"/>
        <w:rPr>
          <w:rFonts w:ascii="Bookman Old Style" w:hAnsi="Bookman Old Style"/>
          <w:snapToGrid/>
          <w:szCs w:val="24"/>
        </w:rPr>
      </w:pPr>
    </w:p>
    <w:p w14:paraId="16CE1670"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7B3F839A"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4EA89EA2" w14:textId="77777777" w:rsidR="0080245E" w:rsidRPr="00D82DF6" w:rsidRDefault="0080245E" w:rsidP="00D82DF6">
      <w:pPr>
        <w:rPr>
          <w:rFonts w:ascii="Bookman Old Style" w:hAnsi="Bookman Old Style"/>
          <w:szCs w:val="24"/>
        </w:rPr>
      </w:pPr>
    </w:p>
    <w:p w14:paraId="35DA9813"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7AFD94A1" w14:textId="77777777" w:rsidR="00BF412A" w:rsidRDefault="00BF412A" w:rsidP="00BF412A">
      <w:pPr>
        <w:suppressAutoHyphens/>
        <w:rPr>
          <w:rFonts w:ascii="Bookman Old Style" w:hAnsi="Bookman Old Style"/>
          <w:spacing w:val="-3"/>
          <w:szCs w:val="24"/>
        </w:rPr>
      </w:pPr>
    </w:p>
    <w:p w14:paraId="343E8103" w14:textId="58086E72" w:rsidR="00BF412A" w:rsidRDefault="00BF412A" w:rsidP="00BF412A">
      <w:pPr>
        <w:suppressAutoHyphens/>
        <w:rPr>
          <w:rFonts w:ascii="Bookman Old Style" w:hAnsi="Bookman Old Style"/>
          <w:snapToGrid/>
          <w:spacing w:val="-3"/>
          <w:szCs w:val="24"/>
        </w:rPr>
      </w:pPr>
      <w:r>
        <w:rPr>
          <w:rFonts w:ascii="Bookman Old Style" w:hAnsi="Bookman Old Style"/>
          <w:spacing w:val="-3"/>
          <w:szCs w:val="24"/>
        </w:rPr>
        <w:t xml:space="preserve">The claimant in this case voluntarily left work because she has health issues that indicate risk factors for severe illness or death from the COVID-19 virus, she lived with her mother who had multiple risk factors, and she had a young, unvaccinated child at home.  </w:t>
      </w:r>
      <w:r w:rsidR="00135FD1">
        <w:rPr>
          <w:rFonts w:ascii="Bookman Old Style" w:hAnsi="Bookman Old Style"/>
          <w:spacing w:val="-3"/>
          <w:szCs w:val="24"/>
        </w:rPr>
        <w:t>The claimant’s job would require her to have contact with customers making payments.</w:t>
      </w:r>
      <w:r>
        <w:rPr>
          <w:rFonts w:ascii="Bookman Old Style" w:hAnsi="Bookman Old Style"/>
          <w:spacing w:val="-3"/>
          <w:szCs w:val="24"/>
        </w:rPr>
        <w:t xml:space="preserve"> </w:t>
      </w:r>
    </w:p>
    <w:p w14:paraId="5681EC25" w14:textId="514D3463" w:rsidR="00135FD1" w:rsidRDefault="00135FD1" w:rsidP="00BF412A">
      <w:pPr>
        <w:suppressAutoHyphens/>
        <w:rPr>
          <w:rFonts w:ascii="Bookman Old Style" w:hAnsi="Bookman Old Style"/>
          <w:snapToGrid/>
          <w:spacing w:val="-3"/>
          <w:szCs w:val="24"/>
        </w:rPr>
      </w:pPr>
    </w:p>
    <w:p w14:paraId="19DF97DA" w14:textId="31D15086" w:rsidR="00135FD1" w:rsidRDefault="00135FD1" w:rsidP="00BF412A">
      <w:pPr>
        <w:suppressAutoHyphens/>
        <w:rPr>
          <w:rFonts w:ascii="Bookman Old Style" w:hAnsi="Bookman Old Style"/>
          <w:snapToGrid/>
          <w:spacing w:val="-3"/>
          <w:szCs w:val="24"/>
        </w:rPr>
      </w:pPr>
    </w:p>
    <w:p w14:paraId="460B05B6" w14:textId="77777777" w:rsidR="00135FD1" w:rsidRPr="00135FD1" w:rsidRDefault="00135FD1" w:rsidP="00BF412A">
      <w:pPr>
        <w:suppressAutoHyphens/>
        <w:rPr>
          <w:rFonts w:ascii="Bookman Old Style" w:hAnsi="Bookman Old Style"/>
          <w:snapToGrid/>
          <w:spacing w:val="-3"/>
          <w:szCs w:val="24"/>
        </w:rPr>
      </w:pPr>
    </w:p>
    <w:p w14:paraId="22CA2DE4" w14:textId="77777777" w:rsidR="00995AAF" w:rsidRDefault="00995AAF" w:rsidP="00BF412A">
      <w:pPr>
        <w:suppressAutoHyphens/>
        <w:rPr>
          <w:rFonts w:ascii="Bookman Old Style" w:hAnsi="Bookman Old Style"/>
          <w:spacing w:val="-3"/>
          <w:szCs w:val="24"/>
        </w:rPr>
      </w:pPr>
    </w:p>
    <w:p w14:paraId="5CE81CAA" w14:textId="77777777" w:rsidR="00BF412A" w:rsidRDefault="00BF412A" w:rsidP="00BF412A">
      <w:pPr>
        <w:suppressAutoHyphens/>
        <w:rPr>
          <w:rFonts w:ascii="Bookman Old Style" w:hAnsi="Bookman Old Style"/>
          <w:spacing w:val="-3"/>
          <w:szCs w:val="24"/>
        </w:rPr>
      </w:pPr>
      <w:r>
        <w:rPr>
          <w:rFonts w:ascii="Bookman Old Style" w:hAnsi="Bookman Old Style"/>
          <w:spacing w:val="-3"/>
          <w:szCs w:val="24"/>
        </w:rPr>
        <w:t xml:space="preserve">The Division’s </w:t>
      </w:r>
      <w:r>
        <w:rPr>
          <w:rFonts w:ascii="Bookman Old Style" w:hAnsi="Bookman Old Style"/>
          <w:spacing w:val="-3"/>
          <w:szCs w:val="24"/>
          <w:u w:val="single"/>
        </w:rPr>
        <w:t>Benefit Policy Manual</w:t>
      </w:r>
      <w:r>
        <w:rPr>
          <w:rFonts w:ascii="Bookman Old Style" w:hAnsi="Bookman Old Style"/>
          <w:spacing w:val="-3"/>
          <w:szCs w:val="24"/>
        </w:rPr>
        <w:t>, at VL 5-2 holds:</w:t>
      </w:r>
    </w:p>
    <w:p w14:paraId="4FA09806" w14:textId="77777777" w:rsidR="00BF412A" w:rsidRDefault="00BF412A" w:rsidP="00BF412A">
      <w:pPr>
        <w:suppressAutoHyphens/>
        <w:ind w:left="810"/>
        <w:rPr>
          <w:rFonts w:ascii="Bookman Old Style" w:hAnsi="Bookman Old Style"/>
          <w:i/>
          <w:spacing w:val="-3"/>
          <w:szCs w:val="24"/>
        </w:rPr>
      </w:pPr>
    </w:p>
    <w:p w14:paraId="5EF4F818" w14:textId="77777777" w:rsidR="00BF412A" w:rsidRDefault="00BF412A" w:rsidP="00BF412A">
      <w:pPr>
        <w:pStyle w:val="Default"/>
        <w:ind w:left="810"/>
        <w:rPr>
          <w:rFonts w:ascii="Bookman Old Style" w:hAnsi="Bookman Old Style"/>
          <w:i/>
        </w:rPr>
      </w:pPr>
      <w:r>
        <w:rPr>
          <w:rFonts w:ascii="Bookman Old Style" w:hAnsi="Bookman Old Style"/>
          <w:i/>
        </w:rPr>
        <w:t xml:space="preserve">C. Suitable Work </w:t>
      </w:r>
    </w:p>
    <w:p w14:paraId="76DE895B" w14:textId="77777777" w:rsidR="00BF412A" w:rsidRDefault="00BF412A" w:rsidP="00BF412A">
      <w:pPr>
        <w:pStyle w:val="Default"/>
        <w:ind w:left="810"/>
        <w:rPr>
          <w:rFonts w:ascii="Bookman Old Style" w:hAnsi="Bookman Old Style"/>
          <w:i/>
        </w:rPr>
      </w:pPr>
    </w:p>
    <w:p w14:paraId="524863B1" w14:textId="77777777" w:rsidR="00BF412A" w:rsidRDefault="00BF412A" w:rsidP="00BF412A">
      <w:pPr>
        <w:pStyle w:val="Default"/>
        <w:ind w:left="810"/>
        <w:rPr>
          <w:rFonts w:ascii="Bookman Old Style" w:hAnsi="Bookman Old Style"/>
          <w:i/>
        </w:rPr>
      </w:pPr>
      <w:r>
        <w:rPr>
          <w:rFonts w:ascii="Bookman Old Style" w:hAnsi="Bookman Old Style"/>
          <w:i/>
        </w:rPr>
        <w:t>There is no disqualification if a worker leaves unsuitable work. A worker needs good cause only to quit suitable work.</w:t>
      </w:r>
    </w:p>
    <w:p w14:paraId="3E254C0D" w14:textId="77777777" w:rsidR="00BF412A" w:rsidRDefault="00BF412A" w:rsidP="00BF412A">
      <w:pPr>
        <w:pStyle w:val="Default"/>
        <w:ind w:left="810"/>
        <w:rPr>
          <w:rFonts w:ascii="Bookman Old Style" w:hAnsi="Bookman Old Style"/>
          <w:i/>
        </w:rPr>
      </w:pPr>
    </w:p>
    <w:p w14:paraId="37E364E4" w14:textId="77777777" w:rsidR="00BF412A" w:rsidRDefault="00BF412A" w:rsidP="00BF412A">
      <w:pPr>
        <w:pStyle w:val="Default"/>
        <w:ind w:left="810"/>
        <w:rPr>
          <w:rFonts w:ascii="Bookman Old Style" w:hAnsi="Bookman Old Style"/>
          <w:i/>
        </w:rPr>
      </w:pPr>
      <w:r>
        <w:rPr>
          <w:rFonts w:ascii="Bookman Old Style" w:hAnsi="Bookman Old Style"/>
          <w:i/>
        </w:rPr>
        <w:t>Suitable work is defined as work in the worker's usual occupation or an occupation for which the worker is reasonably fitted by training, experience, and physical condition.</w:t>
      </w:r>
    </w:p>
    <w:p w14:paraId="29A25453" w14:textId="77777777" w:rsidR="00BF412A" w:rsidRDefault="00BF412A" w:rsidP="00BF412A">
      <w:pPr>
        <w:pStyle w:val="Default"/>
        <w:ind w:left="810"/>
        <w:rPr>
          <w:rFonts w:ascii="Bookman Old Style" w:hAnsi="Bookman Old Style"/>
          <w:i/>
        </w:rPr>
      </w:pPr>
    </w:p>
    <w:p w14:paraId="5389B14B" w14:textId="77777777" w:rsidR="00BF412A" w:rsidRDefault="00BF412A" w:rsidP="00BF412A">
      <w:pPr>
        <w:pStyle w:val="Default"/>
        <w:ind w:left="810"/>
        <w:rPr>
          <w:rFonts w:ascii="Bookman Old Style" w:hAnsi="Bookman Old Style"/>
          <w:i/>
        </w:rPr>
      </w:pPr>
      <w:r>
        <w:rPr>
          <w:rFonts w:ascii="Bookman Old Style" w:hAnsi="Bookman Old Style"/>
          <w:i/>
        </w:rPr>
        <w:t>If the worker has accepted the conditions of employment, by remaining on the job a significant period of time, and not attempting to change the objectionable circumstance, the work is suitable. However, in cases where the work is detrimental to the claimant’s health, even though the claimant is capable of performing a particular job, the work may be deemed unsuitable.</w:t>
      </w:r>
    </w:p>
    <w:p w14:paraId="64636C7A" w14:textId="77777777" w:rsidR="00BF412A" w:rsidRDefault="00BF412A" w:rsidP="00BF412A">
      <w:pPr>
        <w:suppressAutoHyphens/>
        <w:ind w:left="810"/>
        <w:rPr>
          <w:rFonts w:ascii="Bookman Old Style" w:hAnsi="Bookman Old Style"/>
          <w:i/>
          <w:spacing w:val="-3"/>
          <w:szCs w:val="24"/>
        </w:rPr>
      </w:pPr>
    </w:p>
    <w:p w14:paraId="223C76D8" w14:textId="7C9FAA00" w:rsidR="001514D4" w:rsidRDefault="00BF412A" w:rsidP="001514D4">
      <w:pPr>
        <w:tabs>
          <w:tab w:val="left" w:pos="-1440"/>
          <w:tab w:val="left" w:pos="-720"/>
        </w:tabs>
        <w:suppressAutoHyphens/>
        <w:ind w:right="-360"/>
        <w:rPr>
          <w:rFonts w:ascii="Bookman Old Style" w:hAnsi="Bookman Old Style"/>
          <w:spacing w:val="-3"/>
          <w:szCs w:val="24"/>
        </w:rPr>
      </w:pPr>
      <w:r>
        <w:rPr>
          <w:rFonts w:ascii="Bookman Old Style" w:hAnsi="Bookman Old Style"/>
          <w:spacing w:val="-3"/>
          <w:szCs w:val="24"/>
        </w:rPr>
        <w:t>The claimant in this case left work because of a potential detriment to her own health and the health of persons in her home.   The claimant’s decision was reasonable in light of the COVID-19 pandemic guidelines</w:t>
      </w:r>
      <w:r w:rsidR="008D07D0">
        <w:rPr>
          <w:rFonts w:ascii="Bookman Old Style" w:hAnsi="Bookman Old Style"/>
          <w:spacing w:val="-3"/>
          <w:szCs w:val="24"/>
        </w:rPr>
        <w:t xml:space="preserve"> and her inability to be fully vaccinated</w:t>
      </w:r>
      <w:r>
        <w:rPr>
          <w:rFonts w:ascii="Bookman Old Style" w:hAnsi="Bookman Old Style"/>
          <w:spacing w:val="-3"/>
          <w:szCs w:val="24"/>
        </w:rPr>
        <w:t xml:space="preserve">. The claimant had an obligation </w:t>
      </w:r>
      <w:r w:rsidR="00A81ADF">
        <w:rPr>
          <w:rFonts w:ascii="Bookman Old Style" w:hAnsi="Bookman Old Style"/>
          <w:spacing w:val="-3"/>
          <w:szCs w:val="24"/>
        </w:rPr>
        <w:t>protect her mother and her child as well as her own health</w:t>
      </w:r>
      <w:r>
        <w:rPr>
          <w:rFonts w:ascii="Bookman Old Style" w:hAnsi="Bookman Old Style"/>
          <w:spacing w:val="-3"/>
          <w:szCs w:val="24"/>
        </w:rPr>
        <w:t>. The Tribunal concludes the work was not suitable for the claimant at the time she left</w:t>
      </w:r>
      <w:r w:rsidR="008D07D0">
        <w:rPr>
          <w:rFonts w:ascii="Bookman Old Style" w:hAnsi="Bookman Old Style"/>
          <w:spacing w:val="-3"/>
          <w:szCs w:val="24"/>
        </w:rPr>
        <w:t xml:space="preserve"> because the claimant was expected to work with the public when taking payments</w:t>
      </w:r>
      <w:r>
        <w:rPr>
          <w:rFonts w:ascii="Bookman Old Style" w:hAnsi="Bookman Old Style"/>
          <w:spacing w:val="-3"/>
          <w:szCs w:val="24"/>
        </w:rPr>
        <w:t xml:space="preserve">. </w:t>
      </w:r>
    </w:p>
    <w:p w14:paraId="3CF162F4" w14:textId="77777777" w:rsidR="001514D4" w:rsidRDefault="001514D4" w:rsidP="001514D4">
      <w:pPr>
        <w:tabs>
          <w:tab w:val="left" w:pos="-1440"/>
          <w:tab w:val="left" w:pos="-720"/>
        </w:tabs>
        <w:suppressAutoHyphens/>
        <w:ind w:right="-360"/>
        <w:rPr>
          <w:rFonts w:ascii="Bookman Old Style" w:hAnsi="Bookman Old Style"/>
          <w:spacing w:val="-3"/>
          <w:szCs w:val="24"/>
        </w:rPr>
      </w:pPr>
    </w:p>
    <w:p w14:paraId="5545632E" w14:textId="07E52634" w:rsidR="00BF412A" w:rsidRPr="001514D4" w:rsidRDefault="008D07D0" w:rsidP="001514D4">
      <w:pPr>
        <w:tabs>
          <w:tab w:val="left" w:pos="-1440"/>
          <w:tab w:val="left" w:pos="-720"/>
        </w:tabs>
        <w:suppressAutoHyphens/>
        <w:ind w:right="-360"/>
        <w:rPr>
          <w:rFonts w:ascii="Bookman Old Style" w:hAnsi="Bookman Old Style"/>
        </w:rPr>
      </w:pPr>
      <w:r>
        <w:rPr>
          <w:rFonts w:ascii="Bookman Old Style" w:hAnsi="Bookman Old Style"/>
        </w:rPr>
        <w:t>The employer held that there was possible work available at an isolated de</w:t>
      </w:r>
      <w:r w:rsidR="00815AF1">
        <w:rPr>
          <w:rFonts w:ascii="Bookman Old Style" w:hAnsi="Bookman Old Style"/>
        </w:rPr>
        <w:t>sk and that a leave of absence might have been considered outside of the employer’s policy, but the claimant did not ask</w:t>
      </w:r>
      <w:r>
        <w:rPr>
          <w:rFonts w:ascii="Bookman Old Style" w:hAnsi="Bookman Old Style"/>
        </w:rPr>
        <w:t xml:space="preserve">. </w:t>
      </w:r>
      <w:r w:rsidR="001514D4" w:rsidRPr="00117139">
        <w:rPr>
          <w:rFonts w:ascii="Bookman Old Style" w:hAnsi="Bookman Old Style"/>
        </w:rPr>
        <w:t xml:space="preserve">The provisions of AS 23.20.379(a)(1) require disqualification of a claimant’s benefits </w:t>
      </w:r>
      <w:r>
        <w:rPr>
          <w:rFonts w:ascii="Bookman Old Style" w:hAnsi="Bookman Old Style"/>
        </w:rPr>
        <w:t>s</w:t>
      </w:r>
      <w:r w:rsidR="001514D4" w:rsidRPr="00117139">
        <w:rPr>
          <w:rFonts w:ascii="Bookman Old Style" w:hAnsi="Bookman Old Style"/>
        </w:rPr>
        <w:t>he if leaves suitable work without good cause. If a claimant leaves unsuitable work</w:t>
      </w:r>
      <w:r>
        <w:rPr>
          <w:rFonts w:ascii="Bookman Old Style" w:hAnsi="Bookman Old Style"/>
        </w:rPr>
        <w:t xml:space="preserve"> s</w:t>
      </w:r>
      <w:r w:rsidR="001514D4" w:rsidRPr="00117139">
        <w:rPr>
          <w:rFonts w:ascii="Bookman Old Style" w:hAnsi="Bookman Old Style"/>
        </w:rPr>
        <w:t>he is not required to show good cause for quitting.</w:t>
      </w:r>
      <w:r w:rsidR="001514D4">
        <w:rPr>
          <w:rFonts w:ascii="Bookman Old Style" w:hAnsi="Bookman Old Style"/>
        </w:rPr>
        <w:t xml:space="preserve"> </w:t>
      </w:r>
      <w:r>
        <w:rPr>
          <w:rFonts w:ascii="Bookman Old Style" w:hAnsi="Bookman Old Style"/>
          <w:spacing w:val="-3"/>
          <w:szCs w:val="24"/>
        </w:rPr>
        <w:t>As the Tribunal has found that the work was unsuitable for the claimant, t</w:t>
      </w:r>
      <w:r w:rsidR="00BF412A">
        <w:rPr>
          <w:rFonts w:ascii="Bookman Old Style" w:hAnsi="Bookman Old Style"/>
          <w:spacing w:val="-3"/>
          <w:szCs w:val="24"/>
        </w:rPr>
        <w:t xml:space="preserve">he penalties of AS 23.20.379 are not appropriate. </w:t>
      </w:r>
    </w:p>
    <w:p w14:paraId="69B7D419" w14:textId="77777777" w:rsidR="00441439" w:rsidRPr="00D82DF6" w:rsidRDefault="00441439" w:rsidP="00D82DF6">
      <w:pPr>
        <w:tabs>
          <w:tab w:val="left" w:pos="-1440"/>
          <w:tab w:val="left" w:pos="-720"/>
        </w:tabs>
        <w:rPr>
          <w:rFonts w:ascii="Bookman Old Style" w:hAnsi="Bookman Old Style"/>
          <w:szCs w:val="24"/>
        </w:rPr>
      </w:pPr>
    </w:p>
    <w:p w14:paraId="4C50A9CF"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4D8F4529" w14:textId="77777777" w:rsidR="00441439" w:rsidRPr="00D82DF6" w:rsidRDefault="00441439" w:rsidP="00D82DF6">
      <w:pPr>
        <w:tabs>
          <w:tab w:val="left" w:pos="-1440"/>
          <w:tab w:val="left" w:pos="-720"/>
        </w:tabs>
        <w:rPr>
          <w:rFonts w:ascii="Bookman Old Style" w:hAnsi="Bookman Old Style"/>
          <w:szCs w:val="24"/>
        </w:rPr>
      </w:pPr>
    </w:p>
    <w:p w14:paraId="0C5D235E" w14:textId="05EFFBD7"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395387">
        <w:rPr>
          <w:rFonts w:ascii="Bookman Old Style" w:hAnsi="Bookman Old Style"/>
          <w:szCs w:val="24"/>
        </w:rPr>
        <w:t>October 8, 2021</w:t>
      </w:r>
      <w:r w:rsidR="003311C5">
        <w:rPr>
          <w:rFonts w:ascii="Bookman Old Style" w:hAnsi="Bookman Old Style"/>
          <w:szCs w:val="24"/>
        </w:rPr>
        <w:t xml:space="preserve"> </w:t>
      </w:r>
      <w:r w:rsidR="00815AF1">
        <w:rPr>
          <w:rFonts w:ascii="Bookman Old Style" w:hAnsi="Bookman Old Style"/>
          <w:szCs w:val="24"/>
        </w:rPr>
        <w:t>is</w:t>
      </w:r>
      <w:r w:rsidRPr="00D82DF6">
        <w:rPr>
          <w:rFonts w:ascii="Bookman Old Style" w:hAnsi="Bookman Old Style"/>
          <w:szCs w:val="24"/>
        </w:rPr>
        <w:t xml:space="preserve"> </w:t>
      </w:r>
      <w:r w:rsidR="00395387">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395387">
        <w:rPr>
          <w:rFonts w:ascii="Bookman Old Style" w:hAnsi="Bookman Old Style"/>
          <w:szCs w:val="24"/>
        </w:rPr>
        <w:t>September 18, 2021 through October 23, 2021</w:t>
      </w:r>
      <w:r w:rsidRPr="00D82DF6">
        <w:rPr>
          <w:rFonts w:ascii="Bookman Old Style" w:hAnsi="Bookman Old Style"/>
          <w:szCs w:val="24"/>
        </w:rPr>
        <w:t>,</w:t>
      </w:r>
      <w:r w:rsidR="00395387">
        <w:rPr>
          <w:rFonts w:ascii="Bookman Old Style" w:hAnsi="Bookman Old Style"/>
          <w:szCs w:val="24"/>
        </w:rPr>
        <w:t xml:space="preserve">   i</w:t>
      </w:r>
      <w:r w:rsidRPr="00D82DF6">
        <w:rPr>
          <w:rFonts w:ascii="Bookman Old Style" w:hAnsi="Bookman Old Style"/>
          <w:szCs w:val="24"/>
        </w:rPr>
        <w:t>f otherwise eligible. The three weeks are restored to the claimant’s maximum benefits. The determination will not interfere with the claimant’s eligibility for extended benefits under AS 23.20.406-409.</w:t>
      </w:r>
    </w:p>
    <w:p w14:paraId="70577F78" w14:textId="059A3CF3" w:rsidR="00441439" w:rsidRDefault="00441439" w:rsidP="00D82DF6">
      <w:pPr>
        <w:tabs>
          <w:tab w:val="left" w:pos="-1440"/>
          <w:tab w:val="left" w:pos="-720"/>
        </w:tabs>
        <w:rPr>
          <w:rFonts w:ascii="Bookman Old Style" w:hAnsi="Bookman Old Style"/>
          <w:szCs w:val="24"/>
        </w:rPr>
      </w:pPr>
    </w:p>
    <w:p w14:paraId="0920E87C" w14:textId="77777777" w:rsidR="00971BD9" w:rsidRPr="00D82DF6" w:rsidRDefault="00971BD9" w:rsidP="00D82DF6">
      <w:pPr>
        <w:tabs>
          <w:tab w:val="left" w:pos="-1440"/>
          <w:tab w:val="left" w:pos="-720"/>
        </w:tabs>
        <w:rPr>
          <w:rFonts w:ascii="Bookman Old Style" w:hAnsi="Bookman Old Style"/>
          <w:szCs w:val="24"/>
        </w:rPr>
      </w:pPr>
    </w:p>
    <w:p w14:paraId="67C215BA"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lastRenderedPageBreak/>
        <w:t>APPEAL RIGHTS</w:t>
      </w:r>
    </w:p>
    <w:p w14:paraId="1BC87995" w14:textId="77777777" w:rsidR="00441439" w:rsidRPr="00D82DF6" w:rsidRDefault="00441439" w:rsidP="00D82DF6">
      <w:pPr>
        <w:tabs>
          <w:tab w:val="left" w:pos="-1440"/>
          <w:tab w:val="left" w:pos="-720"/>
        </w:tabs>
        <w:rPr>
          <w:rFonts w:ascii="Bookman Old Style" w:hAnsi="Bookman Old Style"/>
          <w:szCs w:val="24"/>
        </w:rPr>
      </w:pPr>
    </w:p>
    <w:p w14:paraId="74ED0A04"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4A620D5" w14:textId="77777777" w:rsidR="00441439" w:rsidRPr="00D82DF6" w:rsidRDefault="00441439" w:rsidP="00D82DF6">
      <w:pPr>
        <w:tabs>
          <w:tab w:val="left" w:pos="-1440"/>
          <w:tab w:val="left" w:pos="-720"/>
        </w:tabs>
        <w:rPr>
          <w:rFonts w:ascii="Bookman Old Style" w:hAnsi="Bookman Old Style"/>
          <w:szCs w:val="24"/>
        </w:rPr>
      </w:pPr>
    </w:p>
    <w:p w14:paraId="34465C14" w14:textId="0676CE22"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995AAF">
        <w:rPr>
          <w:rFonts w:ascii="Bookman Old Style" w:hAnsi="Bookman Old Style"/>
          <w:szCs w:val="24"/>
        </w:rPr>
        <w:t>August 5</w:t>
      </w:r>
      <w:r w:rsidR="00395387">
        <w:rPr>
          <w:rFonts w:ascii="Bookman Old Style" w:hAnsi="Bookman Old Style"/>
          <w:szCs w:val="24"/>
        </w:rPr>
        <w:t>, 2022</w:t>
      </w:r>
      <w:r w:rsidR="00441439" w:rsidRPr="00D82DF6">
        <w:rPr>
          <w:rFonts w:ascii="Bookman Old Style" w:hAnsi="Bookman Old Style"/>
          <w:szCs w:val="24"/>
        </w:rPr>
        <w:t>.</w:t>
      </w:r>
    </w:p>
    <w:p w14:paraId="0A4736CC" w14:textId="77777777" w:rsidR="00441439" w:rsidRPr="00D82DF6" w:rsidRDefault="00441439" w:rsidP="00D82DF6">
      <w:pPr>
        <w:tabs>
          <w:tab w:val="left" w:pos="-1440"/>
          <w:tab w:val="left" w:pos="-720"/>
        </w:tabs>
        <w:rPr>
          <w:rFonts w:ascii="Bookman Old Style" w:hAnsi="Bookman Old Style"/>
          <w:szCs w:val="24"/>
        </w:rPr>
      </w:pPr>
    </w:p>
    <w:p w14:paraId="690DE72E"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556ABCF5" w14:textId="77777777" w:rsidR="00441439" w:rsidRPr="00D82DF6" w:rsidRDefault="00441439" w:rsidP="00D82DF6">
      <w:pPr>
        <w:tabs>
          <w:tab w:val="left" w:pos="-1440"/>
          <w:tab w:val="left" w:pos="-720"/>
        </w:tabs>
        <w:rPr>
          <w:rFonts w:ascii="Bookman Old Style" w:hAnsi="Bookman Old Style"/>
          <w:szCs w:val="24"/>
        </w:rPr>
      </w:pPr>
    </w:p>
    <w:p w14:paraId="7ADFD665" w14:textId="77777777" w:rsidR="00441439" w:rsidRPr="00D82DF6" w:rsidRDefault="00441439" w:rsidP="00D82DF6">
      <w:pPr>
        <w:tabs>
          <w:tab w:val="left" w:pos="-1440"/>
          <w:tab w:val="left" w:pos="-720"/>
        </w:tabs>
        <w:rPr>
          <w:rFonts w:ascii="Bookman Old Style" w:hAnsi="Bookman Old Style"/>
          <w:szCs w:val="24"/>
        </w:rPr>
      </w:pPr>
    </w:p>
    <w:p w14:paraId="7830E742" w14:textId="77777777" w:rsidR="00441439" w:rsidRPr="00D82DF6" w:rsidRDefault="00441439" w:rsidP="00D82DF6">
      <w:pPr>
        <w:tabs>
          <w:tab w:val="left" w:pos="-1440"/>
          <w:tab w:val="left" w:pos="-720"/>
        </w:tabs>
        <w:rPr>
          <w:rFonts w:ascii="Bookman Old Style" w:hAnsi="Bookman Old Style"/>
          <w:szCs w:val="24"/>
        </w:rPr>
      </w:pPr>
    </w:p>
    <w:p w14:paraId="0724D7E0" w14:textId="6EE99D35"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395387">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F890" w14:textId="77777777" w:rsidR="006E62E6" w:rsidRDefault="006E62E6">
      <w:pPr>
        <w:widowControl/>
        <w:spacing w:line="20" w:lineRule="exact"/>
      </w:pPr>
    </w:p>
  </w:endnote>
  <w:endnote w:type="continuationSeparator" w:id="0">
    <w:p w14:paraId="6925ADD3" w14:textId="77777777" w:rsidR="006E62E6" w:rsidRDefault="006E62E6">
      <w:r>
        <w:t xml:space="preserve"> </w:t>
      </w:r>
    </w:p>
  </w:endnote>
  <w:endnote w:type="continuationNotice" w:id="1">
    <w:p w14:paraId="07D50FE5" w14:textId="77777777" w:rsidR="006E62E6" w:rsidRDefault="006E62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092F" w14:textId="77777777" w:rsidR="006E62E6" w:rsidRDefault="006E62E6">
      <w:r>
        <w:separator/>
      </w:r>
    </w:p>
  </w:footnote>
  <w:footnote w:type="continuationSeparator" w:id="0">
    <w:p w14:paraId="15AADC43" w14:textId="77777777" w:rsidR="006E62E6" w:rsidRDefault="006E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5D05" w14:textId="1B19D103"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995AAF">
      <w:rPr>
        <w:rFonts w:ascii="Bookman Old Style" w:hAnsi="Bookman Old Style"/>
      </w:rPr>
      <w:t>22 0665</w:t>
    </w:r>
  </w:p>
  <w:p w14:paraId="3C3637CC"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070762AE"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037968284">
    <w:abstractNumId w:val="4"/>
  </w:num>
  <w:num w:numId="2" w16cid:durableId="1352216849">
    <w:abstractNumId w:val="6"/>
  </w:num>
  <w:num w:numId="3" w16cid:durableId="109084374">
    <w:abstractNumId w:val="0"/>
  </w:num>
  <w:num w:numId="4" w16cid:durableId="553200216">
    <w:abstractNumId w:val="1"/>
  </w:num>
  <w:num w:numId="5" w16cid:durableId="465438531">
    <w:abstractNumId w:val="7"/>
  </w:num>
  <w:num w:numId="6" w16cid:durableId="1026371369">
    <w:abstractNumId w:val="3"/>
  </w:num>
  <w:num w:numId="7" w16cid:durableId="1900749160">
    <w:abstractNumId w:val="5"/>
  </w:num>
  <w:num w:numId="8" w16cid:durableId="1268194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E6"/>
    <w:rsid w:val="00003DC3"/>
    <w:rsid w:val="00026FBD"/>
    <w:rsid w:val="00027F9D"/>
    <w:rsid w:val="00086907"/>
    <w:rsid w:val="000D3B41"/>
    <w:rsid w:val="000D73C2"/>
    <w:rsid w:val="000F5712"/>
    <w:rsid w:val="00135FD1"/>
    <w:rsid w:val="00145E88"/>
    <w:rsid w:val="001514D4"/>
    <w:rsid w:val="00193EB9"/>
    <w:rsid w:val="001B73F6"/>
    <w:rsid w:val="002529B9"/>
    <w:rsid w:val="0026159C"/>
    <w:rsid w:val="002A3C37"/>
    <w:rsid w:val="002C42D3"/>
    <w:rsid w:val="002D5A94"/>
    <w:rsid w:val="0031012B"/>
    <w:rsid w:val="00310FE1"/>
    <w:rsid w:val="003115E0"/>
    <w:rsid w:val="00326C97"/>
    <w:rsid w:val="003311C5"/>
    <w:rsid w:val="00382877"/>
    <w:rsid w:val="00395387"/>
    <w:rsid w:val="003A5235"/>
    <w:rsid w:val="003B709B"/>
    <w:rsid w:val="003C0ED2"/>
    <w:rsid w:val="003E7E91"/>
    <w:rsid w:val="00405A16"/>
    <w:rsid w:val="00441439"/>
    <w:rsid w:val="00456806"/>
    <w:rsid w:val="004758FD"/>
    <w:rsid w:val="004B0A1E"/>
    <w:rsid w:val="00581B6D"/>
    <w:rsid w:val="005A281D"/>
    <w:rsid w:val="005A4355"/>
    <w:rsid w:val="005F1D92"/>
    <w:rsid w:val="00643AF0"/>
    <w:rsid w:val="00661D7B"/>
    <w:rsid w:val="006E62E6"/>
    <w:rsid w:val="007604B3"/>
    <w:rsid w:val="00765551"/>
    <w:rsid w:val="00774034"/>
    <w:rsid w:val="007C0440"/>
    <w:rsid w:val="007C774A"/>
    <w:rsid w:val="0080245E"/>
    <w:rsid w:val="00815AF1"/>
    <w:rsid w:val="008B1CA2"/>
    <w:rsid w:val="008B45DB"/>
    <w:rsid w:val="008D07D0"/>
    <w:rsid w:val="008F3C72"/>
    <w:rsid w:val="00931AA2"/>
    <w:rsid w:val="00932DE9"/>
    <w:rsid w:val="009639E3"/>
    <w:rsid w:val="00971BD9"/>
    <w:rsid w:val="00995AAF"/>
    <w:rsid w:val="00A51932"/>
    <w:rsid w:val="00A66D6A"/>
    <w:rsid w:val="00A81ADF"/>
    <w:rsid w:val="00AA0015"/>
    <w:rsid w:val="00AD5C90"/>
    <w:rsid w:val="00B23E70"/>
    <w:rsid w:val="00B24371"/>
    <w:rsid w:val="00B554BF"/>
    <w:rsid w:val="00B66A35"/>
    <w:rsid w:val="00B85F9D"/>
    <w:rsid w:val="00BF412A"/>
    <w:rsid w:val="00C3767D"/>
    <w:rsid w:val="00C47467"/>
    <w:rsid w:val="00C734D5"/>
    <w:rsid w:val="00C81FB9"/>
    <w:rsid w:val="00D025D4"/>
    <w:rsid w:val="00D829CE"/>
    <w:rsid w:val="00D82DF6"/>
    <w:rsid w:val="00DD3196"/>
    <w:rsid w:val="00DD54FF"/>
    <w:rsid w:val="00DF1DE2"/>
    <w:rsid w:val="00E20AA8"/>
    <w:rsid w:val="00E77931"/>
    <w:rsid w:val="00EB0E9D"/>
    <w:rsid w:val="00EB2462"/>
    <w:rsid w:val="00EC3E1C"/>
    <w:rsid w:val="00ED0B0E"/>
    <w:rsid w:val="00F0242F"/>
    <w:rsid w:val="00F2294D"/>
    <w:rsid w:val="00F23112"/>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DDB2C0C"/>
  <w15:chartTrackingRefBased/>
  <w15:docId w15:val="{AEC0FA6E-D653-4DE6-AAAF-EB15C4FD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customStyle="1" w:styleId="Default">
    <w:name w:val="Default"/>
    <w:rsid w:val="00BF412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 w:id="1167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2</TotalTime>
  <Pages>5</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2022-08-05T18:28:00Z</cp:lastPrinted>
  <dcterms:created xsi:type="dcterms:W3CDTF">2022-08-05T18:30:00Z</dcterms:created>
  <dcterms:modified xsi:type="dcterms:W3CDTF">2022-08-05T18:30:00Z</dcterms:modified>
</cp:coreProperties>
</file>