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72C17" w14:textId="6B1DC13E" w:rsidR="009842BF" w:rsidRPr="00304946" w:rsidRDefault="006F7B1F"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14:anchorId="02F01FE2" wp14:editId="60A31306">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10531ACB"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F378635"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0247C63"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2C4D9B3"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14E08C0F"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0569E1BC"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A05AB4F" w14:textId="77777777" w:rsidR="009842BF" w:rsidRPr="00304946" w:rsidRDefault="009842BF" w:rsidP="00304946">
      <w:pPr>
        <w:widowControl/>
        <w:tabs>
          <w:tab w:val="left" w:pos="-720"/>
        </w:tabs>
        <w:suppressAutoHyphens/>
        <w:rPr>
          <w:rFonts w:ascii="Bookman Old Style" w:hAnsi="Bookman Old Style"/>
          <w:szCs w:val="24"/>
        </w:rPr>
      </w:pPr>
    </w:p>
    <w:p w14:paraId="5689D083"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00111121" w14:textId="77777777" w:rsidR="00780095" w:rsidRPr="00304946" w:rsidRDefault="00780095" w:rsidP="00304946">
      <w:pPr>
        <w:tabs>
          <w:tab w:val="left" w:pos="-720"/>
        </w:tabs>
        <w:suppressAutoHyphens/>
        <w:rPr>
          <w:rFonts w:ascii="Bookman Old Style" w:hAnsi="Bookman Old Style"/>
          <w:szCs w:val="24"/>
        </w:rPr>
      </w:pPr>
    </w:p>
    <w:p w14:paraId="29CAC2CE" w14:textId="2C121BF7"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B24EDC">
        <w:rPr>
          <w:rFonts w:ascii="Bookman Old Style" w:hAnsi="Bookman Old Style"/>
          <w:szCs w:val="24"/>
        </w:rPr>
        <w:t>22 0763</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B24EDC">
        <w:rPr>
          <w:rFonts w:ascii="Bookman Old Style" w:hAnsi="Bookman Old Style"/>
          <w:szCs w:val="24"/>
        </w:rPr>
        <w:t>September 21, 0222</w:t>
      </w:r>
    </w:p>
    <w:p w14:paraId="62A02BEE"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35C241CC" w14:textId="77777777"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14:paraId="7862FE01"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30EA9895" w14:textId="27947635" w:rsidR="00B24EDC" w:rsidRPr="00B24EDC" w:rsidRDefault="00B24EDC" w:rsidP="00B24EDC">
      <w:pPr>
        <w:tabs>
          <w:tab w:val="left" w:pos="-1440"/>
          <w:tab w:val="left" w:pos="-720"/>
          <w:tab w:val="left" w:pos="0"/>
          <w:tab w:val="left" w:pos="5760"/>
        </w:tabs>
        <w:suppressAutoHyphens/>
        <w:ind w:right="-360"/>
        <w:rPr>
          <w:rFonts w:ascii="Bookman Old Style" w:hAnsi="Bookman Old Style"/>
          <w:szCs w:val="24"/>
        </w:rPr>
      </w:pPr>
      <w:r w:rsidRPr="00B24EDC">
        <w:rPr>
          <w:rFonts w:ascii="Bookman Old Style" w:hAnsi="Bookman Old Style"/>
          <w:szCs w:val="24"/>
        </w:rPr>
        <w:t>ANTHONY COOPER</w:t>
      </w:r>
      <w:r>
        <w:rPr>
          <w:rFonts w:ascii="Bookman Old Style" w:hAnsi="Bookman Old Style"/>
          <w:szCs w:val="24"/>
        </w:rPr>
        <w:tab/>
      </w:r>
      <w:r w:rsidRPr="00B24EDC">
        <w:rPr>
          <w:rFonts w:ascii="Bookman Old Style" w:hAnsi="Bookman Old Style"/>
          <w:szCs w:val="24"/>
        </w:rPr>
        <w:t>QUALITY SALES FOOD SERVICE</w:t>
      </w:r>
    </w:p>
    <w:p w14:paraId="08B776D6" w14:textId="38BCFC19" w:rsidR="00780095" w:rsidRDefault="00780095" w:rsidP="00B24EDC">
      <w:pPr>
        <w:tabs>
          <w:tab w:val="left" w:pos="-1440"/>
          <w:tab w:val="left" w:pos="-720"/>
          <w:tab w:val="left" w:pos="0"/>
          <w:tab w:val="left" w:pos="5760"/>
        </w:tabs>
        <w:suppressAutoHyphens/>
        <w:ind w:right="-360"/>
        <w:rPr>
          <w:rFonts w:ascii="Bookman Old Style" w:hAnsi="Bookman Old Style"/>
          <w:szCs w:val="24"/>
        </w:rPr>
      </w:pPr>
    </w:p>
    <w:p w14:paraId="452014BD" w14:textId="7AC85F56" w:rsidR="006F7B1F" w:rsidRDefault="006F7B1F" w:rsidP="00B24EDC">
      <w:pPr>
        <w:tabs>
          <w:tab w:val="left" w:pos="-1440"/>
          <w:tab w:val="left" w:pos="-720"/>
          <w:tab w:val="left" w:pos="0"/>
          <w:tab w:val="left" w:pos="5760"/>
        </w:tabs>
        <w:suppressAutoHyphens/>
        <w:ind w:right="-360"/>
        <w:rPr>
          <w:rFonts w:ascii="Bookman Old Style" w:hAnsi="Bookman Old Style"/>
          <w:szCs w:val="24"/>
        </w:rPr>
      </w:pPr>
    </w:p>
    <w:p w14:paraId="73FE6DC9" w14:textId="77777777" w:rsidR="006F7B1F" w:rsidRPr="00304946" w:rsidRDefault="006F7B1F" w:rsidP="00B24EDC">
      <w:pPr>
        <w:tabs>
          <w:tab w:val="left" w:pos="-1440"/>
          <w:tab w:val="left" w:pos="-720"/>
          <w:tab w:val="left" w:pos="0"/>
          <w:tab w:val="left" w:pos="5760"/>
        </w:tabs>
        <w:suppressAutoHyphens/>
        <w:ind w:right="-360"/>
        <w:rPr>
          <w:rFonts w:ascii="Bookman Old Style" w:hAnsi="Bookman Old Style"/>
          <w:szCs w:val="24"/>
        </w:rPr>
      </w:pPr>
    </w:p>
    <w:p w14:paraId="015696A2"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71DD82BD"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14:paraId="59ED8E36"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0975953F" w14:textId="401C4361" w:rsidR="00780095" w:rsidRDefault="00B24EDC"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Anthony Cooper</w:t>
      </w:r>
      <w:r w:rsidR="00780095" w:rsidRPr="00304946">
        <w:rPr>
          <w:rFonts w:ascii="Bookman Old Style" w:hAnsi="Bookman Old Style"/>
          <w:szCs w:val="24"/>
        </w:rPr>
        <w:tab/>
      </w:r>
      <w:r>
        <w:rPr>
          <w:rFonts w:ascii="Bookman Old Style" w:hAnsi="Bookman Old Style"/>
          <w:szCs w:val="24"/>
        </w:rPr>
        <w:t>None</w:t>
      </w:r>
    </w:p>
    <w:p w14:paraId="1751B92E" w14:textId="7ACB74E7" w:rsidR="00B24EDC" w:rsidRPr="00304946" w:rsidRDefault="00B24EDC"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James Cooper</w:t>
      </w:r>
    </w:p>
    <w:p w14:paraId="7EEB4D60"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2404649F" w14:textId="77777777"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14:paraId="5794EE45" w14:textId="77777777" w:rsidR="0078796F" w:rsidRPr="00304946" w:rsidRDefault="0078796F" w:rsidP="00304946">
      <w:pPr>
        <w:tabs>
          <w:tab w:val="left" w:pos="-1440"/>
          <w:tab w:val="left" w:pos="-720"/>
        </w:tabs>
        <w:rPr>
          <w:rFonts w:ascii="Bookman Old Style" w:hAnsi="Bookman Old Style"/>
          <w:szCs w:val="24"/>
        </w:rPr>
      </w:pPr>
    </w:p>
    <w:p w14:paraId="0785A3FD" w14:textId="52A02E0A"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B24EDC">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B24EDC">
        <w:rPr>
          <w:rFonts w:ascii="Bookman Old Style" w:hAnsi="Bookman Old Style"/>
          <w:szCs w:val="24"/>
        </w:rPr>
        <w:t>July 16, 2021</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B24EDC">
        <w:rPr>
          <w:rFonts w:ascii="Bookman Old Style" w:hAnsi="Bookman Old Style"/>
          <w:szCs w:val="24"/>
        </w:rPr>
        <w:t>379</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B24EDC">
        <w:rPr>
          <w:rFonts w:ascii="Bookman Old Style" w:hAnsi="Bookman Old Style"/>
          <w:szCs w:val="24"/>
        </w:rPr>
        <w:t>the claimant quit work without good cause</w:t>
      </w:r>
      <w:r w:rsidRPr="00304946">
        <w:rPr>
          <w:rFonts w:ascii="Bookman Old Style" w:hAnsi="Bookman Old Style"/>
          <w:szCs w:val="24"/>
        </w:rPr>
        <w:t xml:space="preserve">. The Division mailed the determination to the </w:t>
      </w:r>
      <w:r w:rsidR="00B24EDC">
        <w:rPr>
          <w:rFonts w:ascii="Bookman Old Style" w:hAnsi="Bookman Old Style"/>
          <w:szCs w:val="24"/>
        </w:rPr>
        <w:t>claimant’s</w:t>
      </w:r>
      <w:r w:rsidRPr="00304946">
        <w:rPr>
          <w:rFonts w:ascii="Bookman Old Style" w:hAnsi="Bookman Old Style"/>
          <w:szCs w:val="24"/>
        </w:rPr>
        <w:t xml:space="preserve"> address of record on </w:t>
      </w:r>
      <w:r w:rsidR="00B24EDC">
        <w:rPr>
          <w:rFonts w:ascii="Bookman Old Style" w:hAnsi="Bookman Old Style"/>
          <w:szCs w:val="24"/>
        </w:rPr>
        <w:t>July 16, 2021</w:t>
      </w:r>
      <w:r w:rsidRPr="00304946">
        <w:rPr>
          <w:rFonts w:ascii="Bookman Old Style" w:hAnsi="Bookman Old Style"/>
          <w:szCs w:val="24"/>
        </w:rPr>
        <w:t>.</w:t>
      </w:r>
      <w:r w:rsidR="000E7714" w:rsidRPr="00304946">
        <w:rPr>
          <w:rFonts w:ascii="Bookman Old Style" w:hAnsi="Bookman Old Style"/>
          <w:szCs w:val="24"/>
        </w:rPr>
        <w:t xml:space="preserve"> The </w:t>
      </w:r>
      <w:r w:rsidR="00B24EDC">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B24EDC">
        <w:rPr>
          <w:rFonts w:ascii="Bookman Old Style" w:hAnsi="Bookman Old Style"/>
          <w:szCs w:val="24"/>
        </w:rPr>
        <w:t>August 16, 2022</w:t>
      </w:r>
      <w:r w:rsidR="000E7714" w:rsidRPr="00304946">
        <w:rPr>
          <w:rFonts w:ascii="Bookman Old Style" w:hAnsi="Bookman Old Style"/>
          <w:szCs w:val="24"/>
        </w:rPr>
        <w:t xml:space="preserve">, giving rise to the issue of the timeliness of the </w:t>
      </w:r>
      <w:r w:rsidR="00B24EDC">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2CF0C900" w14:textId="77777777" w:rsidR="0078796F" w:rsidRPr="00304946" w:rsidRDefault="0078796F" w:rsidP="00304946">
      <w:pPr>
        <w:tabs>
          <w:tab w:val="left" w:pos="-1440"/>
          <w:tab w:val="left" w:pos="-720"/>
        </w:tabs>
        <w:rPr>
          <w:rFonts w:ascii="Bookman Old Style" w:hAnsi="Bookman Old Style"/>
          <w:szCs w:val="24"/>
        </w:rPr>
      </w:pPr>
    </w:p>
    <w:p w14:paraId="5B73AE20" w14:textId="77777777" w:rsidR="00FF0699" w:rsidRDefault="00FF0699" w:rsidP="00304946">
      <w:pPr>
        <w:tabs>
          <w:tab w:val="left" w:pos="-1440"/>
          <w:tab w:val="left" w:pos="-720"/>
        </w:tabs>
        <w:rPr>
          <w:rFonts w:ascii="Bookman Old Style" w:hAnsi="Bookman Old Style"/>
          <w:szCs w:val="24"/>
        </w:rPr>
      </w:pPr>
      <w:r>
        <w:rPr>
          <w:rFonts w:ascii="Bookman Old Style" w:hAnsi="Bookman Old Style"/>
          <w:szCs w:val="24"/>
        </w:rPr>
        <w:t xml:space="preserve">The Division’s determination included a statement of the facts it was based on, the penalties being applied to the claimant’s benefit claim, and his appeal rights. </w:t>
      </w:r>
      <w:r w:rsidR="00F5365D">
        <w:rPr>
          <w:rFonts w:ascii="Bookman Old Style" w:hAnsi="Bookman Old Style"/>
          <w:szCs w:val="24"/>
        </w:rPr>
        <w:t xml:space="preserve">The claimant had his mail from the Division sent to his grandparent’s house. The claimant had moved from their home in mid to late-2020 but he did not change his mailing address with the Division. The claimant was able to pick up mail from his grandparent’s residence, but he did not recall receiving the Division’s determination or any notices of overpayment. He speculated his mail may have been misplaced at his grandparent’s house.  </w:t>
      </w:r>
    </w:p>
    <w:p w14:paraId="18E1784A" w14:textId="77777777" w:rsidR="00FF0699" w:rsidRDefault="00FF0699" w:rsidP="00304946">
      <w:pPr>
        <w:tabs>
          <w:tab w:val="left" w:pos="-1440"/>
          <w:tab w:val="left" w:pos="-720"/>
        </w:tabs>
        <w:rPr>
          <w:rFonts w:ascii="Bookman Old Style" w:hAnsi="Bookman Old Style"/>
          <w:szCs w:val="24"/>
        </w:rPr>
      </w:pPr>
    </w:p>
    <w:p w14:paraId="2C5BBF4C" w14:textId="08C0F91A" w:rsidR="0078796F" w:rsidRPr="00304946" w:rsidRDefault="00FF0699" w:rsidP="00304946">
      <w:pPr>
        <w:tabs>
          <w:tab w:val="left" w:pos="-1440"/>
          <w:tab w:val="left" w:pos="-720"/>
        </w:tabs>
        <w:rPr>
          <w:rFonts w:ascii="Bookman Old Style" w:hAnsi="Bookman Old Style"/>
          <w:szCs w:val="24"/>
        </w:rPr>
      </w:pPr>
      <w:r>
        <w:rPr>
          <w:rFonts w:ascii="Bookman Old Style" w:hAnsi="Bookman Old Style"/>
          <w:szCs w:val="24"/>
        </w:rPr>
        <w:t>In February or March 2022, the claimant’s grandfather brought him a notice because it was in a pink envelope</w:t>
      </w:r>
      <w:r w:rsidR="006B4A31">
        <w:rPr>
          <w:rFonts w:ascii="Bookman Old Style" w:hAnsi="Bookman Old Style"/>
          <w:szCs w:val="24"/>
        </w:rPr>
        <w:t xml:space="preserve"> and therefore might be important</w:t>
      </w:r>
      <w:r>
        <w:rPr>
          <w:rFonts w:ascii="Bookman Old Style" w:hAnsi="Bookman Old Style"/>
          <w:szCs w:val="24"/>
        </w:rPr>
        <w:t>. The claimant learned</w:t>
      </w:r>
      <w:r w:rsidR="006B4A31">
        <w:rPr>
          <w:rFonts w:ascii="Bookman Old Style" w:hAnsi="Bookman Old Style"/>
          <w:szCs w:val="24"/>
        </w:rPr>
        <w:t xml:space="preserve"> from the notice that</w:t>
      </w:r>
      <w:r>
        <w:rPr>
          <w:rFonts w:ascii="Bookman Old Style" w:hAnsi="Bookman Old Style"/>
          <w:szCs w:val="24"/>
        </w:rPr>
        <w:t xml:space="preserve"> his Permanent Fund Dividend payment was being levied to satisfy overpaid benefits owed to the Division as the result of the determination issued July 16, 2021. The claimant set the notice aside because he was getting ready to relocate. The claimant was relocated and settled in August 2022. He filed his appeal on </w:t>
      </w:r>
      <w:r w:rsidR="006B4A31">
        <w:rPr>
          <w:rFonts w:ascii="Bookman Old Style" w:hAnsi="Bookman Old Style"/>
          <w:szCs w:val="24"/>
        </w:rPr>
        <w:t xml:space="preserve">    </w:t>
      </w:r>
      <w:r>
        <w:rPr>
          <w:rFonts w:ascii="Bookman Old Style" w:hAnsi="Bookman Old Style"/>
          <w:szCs w:val="24"/>
        </w:rPr>
        <w:t>August 16, 2022.</w:t>
      </w:r>
    </w:p>
    <w:p w14:paraId="56C68639" w14:textId="77777777" w:rsidR="000E7714" w:rsidRPr="00304946" w:rsidRDefault="000E7714" w:rsidP="00304946">
      <w:pPr>
        <w:tabs>
          <w:tab w:val="left" w:pos="-1440"/>
          <w:tab w:val="left" w:pos="-720"/>
        </w:tabs>
        <w:rPr>
          <w:rFonts w:ascii="Bookman Old Style" w:hAnsi="Bookman Old Style"/>
          <w:szCs w:val="24"/>
        </w:rPr>
      </w:pPr>
    </w:p>
    <w:p w14:paraId="19181AB7" w14:textId="77777777" w:rsidR="0078796F" w:rsidRPr="00304946" w:rsidRDefault="0078796F" w:rsidP="00304946">
      <w:pPr>
        <w:tabs>
          <w:tab w:val="left" w:pos="-1440"/>
          <w:tab w:val="left" w:pos="-720"/>
        </w:tabs>
        <w:rPr>
          <w:rFonts w:ascii="Bookman Old Style" w:hAnsi="Bookman Old Style"/>
          <w:szCs w:val="24"/>
        </w:rPr>
      </w:pPr>
    </w:p>
    <w:p w14:paraId="4CC5A86F" w14:textId="77777777"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lastRenderedPageBreak/>
        <w:t>PROVISIONS OF LAW</w:t>
      </w:r>
    </w:p>
    <w:p w14:paraId="55DB8EE1" w14:textId="77777777" w:rsidR="0078796F" w:rsidRPr="00304946" w:rsidRDefault="0078796F" w:rsidP="00304946">
      <w:pPr>
        <w:tabs>
          <w:tab w:val="left" w:pos="-1440"/>
          <w:tab w:val="left" w:pos="-720"/>
        </w:tabs>
        <w:rPr>
          <w:rFonts w:ascii="Bookman Old Style" w:hAnsi="Bookman Old Style"/>
          <w:szCs w:val="24"/>
        </w:rPr>
      </w:pPr>
    </w:p>
    <w:p w14:paraId="63051E6F"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14:paraId="566D7A37" w14:textId="77777777" w:rsidR="0078796F" w:rsidRPr="00304946" w:rsidRDefault="0078796F" w:rsidP="00304946">
      <w:pPr>
        <w:suppressAutoHyphens/>
        <w:rPr>
          <w:rFonts w:ascii="Bookman Old Style" w:hAnsi="Bookman Old Style"/>
          <w:spacing w:val="-3"/>
          <w:szCs w:val="24"/>
        </w:rPr>
      </w:pPr>
    </w:p>
    <w:p w14:paraId="40F66D6B"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14:paraId="48D068C1"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7E4F8781"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4C0E666F" w14:textId="77777777" w:rsidR="0078796F" w:rsidRPr="00304946" w:rsidRDefault="0078796F" w:rsidP="00304946">
      <w:pPr>
        <w:tabs>
          <w:tab w:val="left" w:pos="-720"/>
        </w:tabs>
        <w:suppressAutoHyphens/>
        <w:rPr>
          <w:rFonts w:ascii="Bookman Old Style" w:hAnsi="Bookman Old Style"/>
          <w:spacing w:val="-3"/>
          <w:szCs w:val="24"/>
        </w:rPr>
      </w:pPr>
    </w:p>
    <w:p w14:paraId="5F7C92DA"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14:paraId="491AAFED"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1FDC052B" w14:textId="77777777" w:rsidR="0078796F" w:rsidRPr="00304946" w:rsidRDefault="0078796F" w:rsidP="00304946">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14:paraId="56BF15F1" w14:textId="77777777" w:rsidR="0078796F" w:rsidRPr="00034E8A" w:rsidRDefault="0078796F" w:rsidP="00304946">
      <w:pPr>
        <w:pStyle w:val="Heading4"/>
        <w:jc w:val="center"/>
        <w:rPr>
          <w:rFonts w:ascii="Bookman Old Style" w:hAnsi="Bookman Old Style"/>
          <w:b w:val="0"/>
          <w:i w:val="0"/>
          <w:color w:val="auto"/>
          <w:szCs w:val="24"/>
        </w:rPr>
      </w:pPr>
    </w:p>
    <w:p w14:paraId="7BB997C9"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p>
    <w:p w14:paraId="1A01070A" w14:textId="77777777" w:rsidR="0078796F" w:rsidRPr="00304946" w:rsidRDefault="0078796F" w:rsidP="00304946">
      <w:pPr>
        <w:tabs>
          <w:tab w:val="left" w:pos="-1440"/>
          <w:tab w:val="left" w:pos="-720"/>
        </w:tabs>
        <w:rPr>
          <w:rFonts w:ascii="Bookman Old Style" w:hAnsi="Bookman Old Style"/>
          <w:szCs w:val="24"/>
        </w:rPr>
      </w:pPr>
    </w:p>
    <w:p w14:paraId="3477B86A"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6FEA93AB" w14:textId="77777777" w:rsidR="0078796F" w:rsidRPr="00304946" w:rsidRDefault="0078796F" w:rsidP="00304946">
      <w:pPr>
        <w:tabs>
          <w:tab w:val="left" w:pos="-1440"/>
          <w:tab w:val="left" w:pos="-720"/>
        </w:tabs>
        <w:rPr>
          <w:rFonts w:ascii="Bookman Old Style" w:hAnsi="Bookman Old Style"/>
          <w:szCs w:val="24"/>
        </w:rPr>
      </w:pPr>
    </w:p>
    <w:p w14:paraId="15300D2C" w14:textId="77777777" w:rsidR="0078796F" w:rsidRPr="00E96FC3" w:rsidRDefault="0078796F" w:rsidP="00E96FC3">
      <w:pPr>
        <w:suppressAutoHyphens/>
        <w:ind w:left="720"/>
        <w:rPr>
          <w:rFonts w:ascii="Bookman Old Style" w:hAnsi="Bookman Old Style"/>
          <w:i/>
          <w:iCs/>
          <w:spacing w:val="-3"/>
          <w:szCs w:val="24"/>
        </w:rPr>
      </w:pPr>
      <w:r w:rsidRPr="00E96FC3">
        <w:rPr>
          <w:rFonts w:ascii="Bookman Old Style" w:hAnsi="Bookman Old Style"/>
          <w:i/>
          <w:iCs/>
          <w:spacing w:val="-3"/>
          <w:szCs w:val="24"/>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E96FC3">
        <w:rPr>
          <w:rFonts w:ascii="Bookman Old Style" w:hAnsi="Bookman Old Style"/>
          <w:i/>
          <w:iCs/>
          <w:spacing w:val="-3"/>
          <w:szCs w:val="24"/>
          <w:u w:val="single"/>
        </w:rPr>
        <w:t>Andrews,</w:t>
      </w:r>
      <w:r w:rsidR="00304946" w:rsidRPr="00E96FC3">
        <w:rPr>
          <w:rFonts w:ascii="Bookman Old Style" w:hAnsi="Bookman Old Style"/>
          <w:i/>
          <w:iCs/>
          <w:spacing w:val="-3"/>
          <w:szCs w:val="24"/>
        </w:rPr>
        <w:t xml:space="preserve"> Com</w:t>
      </w:r>
      <w:r w:rsidRPr="00E96FC3">
        <w:rPr>
          <w:rFonts w:ascii="Bookman Old Style" w:hAnsi="Bookman Old Style"/>
          <w:i/>
          <w:iCs/>
          <w:spacing w:val="-3"/>
          <w:szCs w:val="24"/>
        </w:rPr>
        <w:t xml:space="preserve">. Dec. 76H-167, Oct. 8, 1976; aff'd </w:t>
      </w:r>
      <w:r w:rsidRPr="00E96FC3">
        <w:rPr>
          <w:rFonts w:ascii="Bookman Old Style" w:hAnsi="Bookman Old Style"/>
          <w:i/>
          <w:iCs/>
          <w:spacing w:val="-3"/>
          <w:szCs w:val="24"/>
          <w:u w:val="single"/>
        </w:rPr>
        <w:t>Andrews v. State Dept. of Labor</w:t>
      </w:r>
      <w:r w:rsidRPr="00E96FC3">
        <w:rPr>
          <w:rFonts w:ascii="Bookman Old Style" w:hAnsi="Bookman Old Style"/>
          <w:i/>
          <w:iCs/>
          <w:spacing w:val="-3"/>
          <w:szCs w:val="24"/>
        </w:rPr>
        <w:t xml:space="preserve">, </w:t>
      </w:r>
      <w:r w:rsidRPr="00E96FC3">
        <w:rPr>
          <w:rFonts w:ascii="Bookman Old Style" w:hAnsi="Bookman Old Style"/>
          <w:i/>
          <w:iCs/>
          <w:spacing w:val="-3"/>
          <w:szCs w:val="24"/>
        </w:rPr>
        <w:lastRenderedPageBreak/>
        <w:t xml:space="preserve">No. 76-942 Civ. (Alaska Super. Ct. 1st J.D., April 13, 1977). There is a rebuttable presumption that a notice placed in the mail will be timely delivered. </w:t>
      </w:r>
      <w:r w:rsidRPr="00E96FC3">
        <w:rPr>
          <w:rFonts w:ascii="Bookman Old Style" w:hAnsi="Bookman Old Style"/>
          <w:i/>
          <w:iCs/>
          <w:spacing w:val="-3"/>
          <w:szCs w:val="24"/>
          <w:u w:val="single"/>
        </w:rPr>
        <w:t>Rosser</w:t>
      </w:r>
      <w:r w:rsidR="00304946" w:rsidRPr="00E96FC3">
        <w:rPr>
          <w:rFonts w:ascii="Bookman Old Style" w:hAnsi="Bookman Old Style"/>
          <w:i/>
          <w:iCs/>
          <w:spacing w:val="-3"/>
          <w:szCs w:val="24"/>
        </w:rPr>
        <w:t>, Com</w:t>
      </w:r>
      <w:r w:rsidRPr="00E96FC3">
        <w:rPr>
          <w:rFonts w:ascii="Bookman Old Style" w:hAnsi="Bookman Old Style"/>
          <w:i/>
          <w:iCs/>
          <w:spacing w:val="-3"/>
          <w:szCs w:val="24"/>
        </w:rPr>
        <w:t>. Dec. 83H-UI-145, June 15, 1983.</w:t>
      </w:r>
    </w:p>
    <w:p w14:paraId="377ED45F" w14:textId="77777777" w:rsidR="0078796F" w:rsidRPr="00E96FC3" w:rsidRDefault="0078796F" w:rsidP="006B4A31">
      <w:pPr>
        <w:rPr>
          <w:rFonts w:ascii="Bookman Old Style" w:hAnsi="Bookman Old Style"/>
          <w:i/>
          <w:iCs/>
          <w:szCs w:val="24"/>
        </w:rPr>
      </w:pPr>
    </w:p>
    <w:p w14:paraId="17A618DB" w14:textId="77777777" w:rsidR="0078796F" w:rsidRPr="00E96FC3" w:rsidRDefault="0078796F" w:rsidP="00E96FC3">
      <w:pPr>
        <w:ind w:left="720"/>
        <w:rPr>
          <w:rFonts w:ascii="Bookman Old Style" w:hAnsi="Bookman Old Style"/>
          <w:i/>
          <w:iCs/>
          <w:spacing w:val="-3"/>
          <w:szCs w:val="24"/>
        </w:rPr>
      </w:pPr>
      <w:r w:rsidRPr="00E96FC3">
        <w:rPr>
          <w:rFonts w:ascii="Bookman Old Style" w:hAnsi="Bookman Old Style"/>
          <w:i/>
          <w:iCs/>
          <w:spacing w:val="-3"/>
          <w:szCs w:val="24"/>
        </w:rPr>
        <w:t xml:space="preserve">The failure of a party's agent or employee to act is not such a circumstance [to grant reopening]. </w:t>
      </w:r>
      <w:r w:rsidRPr="00E96FC3">
        <w:rPr>
          <w:rFonts w:ascii="Bookman Old Style" w:hAnsi="Bookman Old Style"/>
          <w:i/>
          <w:iCs/>
          <w:spacing w:val="-3"/>
          <w:szCs w:val="24"/>
          <w:u w:val="single"/>
        </w:rPr>
        <w:t>Anderson</w:t>
      </w:r>
      <w:r w:rsidR="00304946" w:rsidRPr="00E96FC3">
        <w:rPr>
          <w:rFonts w:ascii="Bookman Old Style" w:hAnsi="Bookman Old Style"/>
          <w:i/>
          <w:iCs/>
          <w:spacing w:val="-3"/>
          <w:szCs w:val="24"/>
        </w:rPr>
        <w:t>, Com.</w:t>
      </w:r>
      <w:r w:rsidRPr="00E96FC3">
        <w:rPr>
          <w:rFonts w:ascii="Bookman Old Style" w:hAnsi="Bookman Old Style"/>
          <w:i/>
          <w:iCs/>
          <w:spacing w:val="-3"/>
          <w:szCs w:val="24"/>
        </w:rPr>
        <w:t xml:space="preserve"> Dec. 84H-UI-186,</w:t>
      </w:r>
      <w:r w:rsidR="00304946" w:rsidRPr="00E96FC3">
        <w:rPr>
          <w:rFonts w:ascii="Bookman Old Style" w:hAnsi="Bookman Old Style"/>
          <w:i/>
          <w:iCs/>
          <w:spacing w:val="-3"/>
          <w:szCs w:val="24"/>
        </w:rPr>
        <w:t xml:space="preserve"> </w:t>
      </w:r>
      <w:r w:rsidRPr="00E96FC3">
        <w:rPr>
          <w:rFonts w:ascii="Bookman Old Style" w:hAnsi="Bookman Old Style"/>
          <w:i/>
          <w:iCs/>
          <w:spacing w:val="-3"/>
          <w:szCs w:val="24"/>
        </w:rPr>
        <w:t>July 20, 1984.</w:t>
      </w:r>
    </w:p>
    <w:p w14:paraId="5A1442F4" w14:textId="77777777" w:rsidR="00E96FC3" w:rsidRPr="00E96FC3" w:rsidRDefault="00E96FC3" w:rsidP="00E96FC3">
      <w:pPr>
        <w:ind w:left="720"/>
        <w:rPr>
          <w:rFonts w:ascii="Bookman Old Style" w:hAnsi="Bookman Old Style"/>
          <w:i/>
          <w:iCs/>
          <w:spacing w:val="-3"/>
          <w:szCs w:val="24"/>
        </w:rPr>
      </w:pPr>
    </w:p>
    <w:p w14:paraId="1BC55312" w14:textId="500BF976" w:rsidR="0078796F" w:rsidRDefault="006B4A31" w:rsidP="003049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Division met its obligation to notify the claimant of the determination and his right to appeal it when they mailed to the notice to his address of record.  The claimant had made his grandparents his agents for the receipts of his mail when he provided their mailing address to the Division.  As in Anderson, above, any failures of the claimant to receive mail delivered to his grandparent’s address is considered to be within the claimant’s control.</w:t>
      </w:r>
    </w:p>
    <w:p w14:paraId="766E166E" w14:textId="785F6FBF" w:rsidR="009577F5" w:rsidRDefault="009577F5" w:rsidP="00304946">
      <w:pPr>
        <w:tabs>
          <w:tab w:val="left" w:pos="-720"/>
          <w:tab w:val="left" w:pos="1440"/>
        </w:tabs>
        <w:suppressAutoHyphens/>
        <w:rPr>
          <w:rFonts w:ascii="Bookman Old Style" w:hAnsi="Bookman Old Style"/>
          <w:spacing w:val="-3"/>
          <w:szCs w:val="24"/>
        </w:rPr>
      </w:pPr>
    </w:p>
    <w:p w14:paraId="71608703" w14:textId="2CF43884" w:rsidR="009577F5" w:rsidRDefault="009577F5" w:rsidP="009577F5">
      <w:pPr>
        <w:tabs>
          <w:tab w:val="left" w:pos="720"/>
          <w:tab w:val="left" w:pos="5587"/>
        </w:tabs>
        <w:suppressAutoHyphens/>
        <w:rPr>
          <w:rFonts w:ascii="Bookman Old Style" w:hAnsi="Bookman Old Style" w:cs="Arial"/>
          <w:spacing w:val="-3"/>
          <w:szCs w:val="24"/>
        </w:rPr>
      </w:pPr>
      <w:r w:rsidRPr="00C10991">
        <w:rPr>
          <w:rFonts w:ascii="Bookman Old Style" w:hAnsi="Bookman Old Style" w:cs="Arial"/>
          <w:spacing w:val="-3"/>
          <w:szCs w:val="24"/>
        </w:rPr>
        <w:t xml:space="preserve">In </w:t>
      </w:r>
      <w:r w:rsidRPr="00C10991">
        <w:rPr>
          <w:rFonts w:ascii="Bookman Old Style" w:hAnsi="Bookman Old Style" w:cs="Arial"/>
          <w:spacing w:val="-3"/>
          <w:szCs w:val="24"/>
          <w:u w:val="single"/>
        </w:rPr>
        <w:t>Demit</w:t>
      </w:r>
      <w:r w:rsidRPr="00C10991">
        <w:rPr>
          <w:rFonts w:ascii="Bookman Old Style" w:hAnsi="Bookman Old Style" w:cs="Arial"/>
          <w:spacing w:val="-3"/>
          <w:szCs w:val="24"/>
        </w:rPr>
        <w:t>, Com. Dec. 87H-EB-099, May 1, 1987, the Commissioner held, in part:</w:t>
      </w:r>
    </w:p>
    <w:p w14:paraId="3028F2FA" w14:textId="77777777" w:rsidR="009577F5" w:rsidRPr="00C10991" w:rsidRDefault="009577F5" w:rsidP="009577F5">
      <w:pPr>
        <w:tabs>
          <w:tab w:val="left" w:pos="720"/>
          <w:tab w:val="left" w:pos="5587"/>
        </w:tabs>
        <w:suppressAutoHyphens/>
        <w:rPr>
          <w:rFonts w:ascii="Bookman Old Style" w:hAnsi="Bookman Old Style" w:cs="Arial"/>
          <w:spacing w:val="-3"/>
          <w:szCs w:val="24"/>
        </w:rPr>
      </w:pPr>
    </w:p>
    <w:p w14:paraId="1F2864AB" w14:textId="63BEAE12" w:rsidR="009577F5" w:rsidRDefault="009577F5" w:rsidP="009577F5">
      <w:pPr>
        <w:ind w:left="720"/>
        <w:rPr>
          <w:rFonts w:ascii="Bookman Old Style" w:hAnsi="Bookman Old Style" w:cs="Arial"/>
          <w:i/>
          <w:szCs w:val="24"/>
        </w:rPr>
      </w:pPr>
      <w:r w:rsidRPr="00C10991">
        <w:rPr>
          <w:rFonts w:ascii="Bookman Old Style" w:hAnsi="Bookman Old Style" w:cs="Arial"/>
          <w:i/>
          <w:szCs w:val="24"/>
        </w:rPr>
        <w:t>It is the claimant's responsibility to thoroughly read all information provided to him by the Division so that he will have the necessary knowledge needed to properly handle his claim.</w:t>
      </w:r>
    </w:p>
    <w:p w14:paraId="2528E55F" w14:textId="77777777" w:rsidR="009577F5" w:rsidRPr="00C10991" w:rsidRDefault="009577F5" w:rsidP="009577F5">
      <w:pPr>
        <w:ind w:left="720"/>
        <w:rPr>
          <w:rFonts w:ascii="Bookman Old Style" w:hAnsi="Bookman Old Style" w:cs="Arial"/>
          <w:i/>
          <w:szCs w:val="24"/>
        </w:rPr>
      </w:pPr>
    </w:p>
    <w:p w14:paraId="6BAAC138" w14:textId="2DFE1E30" w:rsidR="009577F5" w:rsidRDefault="009577F5" w:rsidP="009577F5">
      <w:pPr>
        <w:tabs>
          <w:tab w:val="left" w:pos="720"/>
          <w:tab w:val="left" w:pos="5587"/>
        </w:tabs>
        <w:suppressAutoHyphens/>
        <w:rPr>
          <w:rFonts w:ascii="Bookman Old Style" w:hAnsi="Bookman Old Style"/>
          <w:spacing w:val="-3"/>
          <w:szCs w:val="24"/>
        </w:rPr>
      </w:pPr>
      <w:r w:rsidRPr="00C10991">
        <w:rPr>
          <w:rFonts w:ascii="Bookman Old Style" w:hAnsi="Bookman Old Style"/>
          <w:spacing w:val="-3"/>
          <w:szCs w:val="24"/>
        </w:rPr>
        <w:t xml:space="preserve">In </w:t>
      </w:r>
      <w:r w:rsidRPr="00C10991">
        <w:rPr>
          <w:rFonts w:ascii="Bookman Old Style" w:hAnsi="Bookman Old Style"/>
          <w:spacing w:val="-3"/>
          <w:szCs w:val="24"/>
          <w:u w:val="single"/>
        </w:rPr>
        <w:t>Thompson</w:t>
      </w:r>
      <w:r w:rsidRPr="00C10991">
        <w:rPr>
          <w:rFonts w:ascii="Bookman Old Style" w:hAnsi="Bookman Old Style"/>
          <w:spacing w:val="-3"/>
          <w:szCs w:val="24"/>
        </w:rPr>
        <w:t>, Com. Dec. 07 1164 , October 9, 2007, the Commissioner held, in part:</w:t>
      </w:r>
    </w:p>
    <w:p w14:paraId="08D8E837" w14:textId="77777777" w:rsidR="009577F5" w:rsidRPr="00C10991" w:rsidRDefault="009577F5" w:rsidP="009577F5">
      <w:pPr>
        <w:tabs>
          <w:tab w:val="left" w:pos="720"/>
          <w:tab w:val="left" w:pos="5587"/>
        </w:tabs>
        <w:suppressAutoHyphens/>
        <w:rPr>
          <w:rFonts w:ascii="Bookman Old Style" w:hAnsi="Bookman Old Style"/>
          <w:spacing w:val="-3"/>
          <w:szCs w:val="24"/>
        </w:rPr>
      </w:pPr>
    </w:p>
    <w:p w14:paraId="10C37E07" w14:textId="77777777" w:rsidR="009577F5" w:rsidRPr="00C10991" w:rsidRDefault="009577F5" w:rsidP="009577F5">
      <w:pPr>
        <w:ind w:left="810"/>
        <w:rPr>
          <w:rFonts w:ascii="Bookman Old Style" w:hAnsi="Bookman Old Style"/>
          <w:i/>
          <w:szCs w:val="24"/>
        </w:rPr>
      </w:pPr>
      <w:r w:rsidRPr="00C10991">
        <w:rPr>
          <w:rFonts w:ascii="Bookman Old Style" w:hAnsi="Bookman Old Style"/>
          <w:i/>
          <w:szCs w:val="24"/>
        </w:rPr>
        <w:t>In Commissioner Decision 03 2368, January 8, 2004, we concluded that an “employer is responsible to ensure its mail is reviewed and acted upon in a timely fashion.” This holds true for claimants and other interested parties. The claimant in this matter knew after an initial glance that a determination and notice of liability had been issued that she believed to be incorrect, and yet she put it aside to be dealt with at a later date.</w:t>
      </w:r>
    </w:p>
    <w:p w14:paraId="36C68F9C" w14:textId="77777777" w:rsidR="009577F5" w:rsidRPr="00C10991" w:rsidRDefault="009577F5" w:rsidP="009577F5">
      <w:pPr>
        <w:tabs>
          <w:tab w:val="left" w:pos="720"/>
          <w:tab w:val="left" w:pos="5587"/>
        </w:tabs>
        <w:suppressAutoHyphens/>
        <w:ind w:left="810"/>
        <w:rPr>
          <w:rFonts w:ascii="Bookman Old Style" w:hAnsi="Bookman Old Style"/>
          <w:i/>
          <w:spacing w:val="-3"/>
          <w:szCs w:val="24"/>
        </w:rPr>
      </w:pPr>
      <w:r w:rsidRPr="00C10991">
        <w:rPr>
          <w:rFonts w:ascii="Bookman Old Style" w:hAnsi="Bookman Old Style"/>
          <w:i/>
          <w:spacing w:val="-3"/>
          <w:szCs w:val="24"/>
        </w:rPr>
        <w:t xml:space="preserve">While we agree that it can at times be tempting to put matters aside, it does not remove one’s obligation to ensure appeal rights are protected. We do not believe the claimant in this case has distinguished her situation such that her appeal delay can be attributed to a cause beyond her control and thus excused. </w:t>
      </w:r>
    </w:p>
    <w:p w14:paraId="004EE0E9" w14:textId="77777777" w:rsidR="009577F5" w:rsidRPr="00304946" w:rsidRDefault="009577F5" w:rsidP="00304946">
      <w:pPr>
        <w:tabs>
          <w:tab w:val="left" w:pos="-720"/>
          <w:tab w:val="left" w:pos="1440"/>
        </w:tabs>
        <w:suppressAutoHyphens/>
        <w:rPr>
          <w:rFonts w:ascii="Bookman Old Style" w:hAnsi="Bookman Old Style"/>
          <w:spacing w:val="-3"/>
          <w:szCs w:val="24"/>
        </w:rPr>
      </w:pPr>
    </w:p>
    <w:p w14:paraId="263493A1" w14:textId="229E0349" w:rsidR="0078796F" w:rsidRPr="00304946" w:rsidRDefault="009577F5" w:rsidP="00304946">
      <w:pPr>
        <w:tabs>
          <w:tab w:val="left" w:pos="-1440"/>
          <w:tab w:val="left" w:pos="-720"/>
        </w:tabs>
        <w:rPr>
          <w:rFonts w:ascii="Bookman Old Style" w:hAnsi="Bookman Old Style"/>
          <w:szCs w:val="24"/>
        </w:rPr>
      </w:pPr>
      <w:r>
        <w:rPr>
          <w:rFonts w:ascii="Bookman Old Style" w:hAnsi="Bookman Old Style"/>
          <w:szCs w:val="24"/>
        </w:rPr>
        <w:t>The claimant became aware of the matter when he received notice in early 2022 that he owed the Division for overpaid benefits.  The claimant did not contact the Division to file an appeal, which would have required on a phone call, letter or email. That the claimant was relocating does not excuse the claimant’s failure to take the short time required to protect his appeal rights.  The matter has become final and the Tribunal has no authority to review it.</w:t>
      </w:r>
    </w:p>
    <w:p w14:paraId="4A105616"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p>
    <w:p w14:paraId="6FC37895" w14:textId="77777777" w:rsidR="0078796F" w:rsidRPr="00304946" w:rsidRDefault="0078796F" w:rsidP="00304946">
      <w:pPr>
        <w:tabs>
          <w:tab w:val="left" w:pos="-1440"/>
          <w:tab w:val="left" w:pos="-720"/>
        </w:tabs>
        <w:rPr>
          <w:rFonts w:ascii="Bookman Old Style" w:hAnsi="Bookman Old Style"/>
          <w:szCs w:val="24"/>
        </w:rPr>
      </w:pPr>
    </w:p>
    <w:p w14:paraId="38F5F03A" w14:textId="756F24F5"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9577F5">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9577F5">
        <w:rPr>
          <w:rFonts w:ascii="Bookman Old Style" w:hAnsi="Bookman Old Style"/>
          <w:spacing w:val="-3"/>
          <w:szCs w:val="24"/>
        </w:rPr>
        <w:t>July 16, 2021</w:t>
      </w:r>
      <w:r w:rsidR="0078796F" w:rsidRPr="00304946">
        <w:rPr>
          <w:rFonts w:ascii="Bookman Old Style" w:hAnsi="Bookman Old Style"/>
          <w:spacing w:val="-3"/>
          <w:szCs w:val="24"/>
        </w:rPr>
        <w:t xml:space="preserve"> is </w:t>
      </w:r>
      <w:r w:rsidR="0078796F" w:rsidRPr="00304946">
        <w:rPr>
          <w:rFonts w:ascii="Bookman Old Style" w:hAnsi="Bookman Old Style"/>
          <w:b/>
          <w:spacing w:val="-3"/>
          <w:szCs w:val="24"/>
        </w:rPr>
        <w:t>DISMISSED</w:t>
      </w:r>
      <w:r w:rsidRPr="00304946">
        <w:rPr>
          <w:rFonts w:ascii="Bookman Old Style" w:hAnsi="Bookman Old Style"/>
          <w:spacing w:val="-3"/>
          <w:szCs w:val="24"/>
        </w:rPr>
        <w:t>.</w:t>
      </w:r>
    </w:p>
    <w:p w14:paraId="4E0DC3E6" w14:textId="43E9AECF" w:rsidR="00780095" w:rsidRDefault="00780095" w:rsidP="00304946">
      <w:pPr>
        <w:pStyle w:val="Heading2"/>
        <w:widowControl/>
        <w:ind w:right="0"/>
        <w:rPr>
          <w:rFonts w:ascii="Bookman Old Style" w:hAnsi="Bookman Old Style"/>
          <w:szCs w:val="24"/>
        </w:rPr>
      </w:pPr>
    </w:p>
    <w:p w14:paraId="76E412F0" w14:textId="77777777" w:rsidR="009577F5" w:rsidRPr="009577F5" w:rsidRDefault="009577F5" w:rsidP="009577F5"/>
    <w:p w14:paraId="01213ECD" w14:textId="77777777"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lastRenderedPageBreak/>
        <w:t>APPEAL RIGHTS</w:t>
      </w:r>
    </w:p>
    <w:p w14:paraId="7372F5B1" w14:textId="77777777" w:rsidR="0046604B" w:rsidRPr="00304946" w:rsidRDefault="0046604B" w:rsidP="00304946">
      <w:pPr>
        <w:tabs>
          <w:tab w:val="left" w:pos="-1440"/>
          <w:tab w:val="left" w:pos="-720"/>
        </w:tabs>
        <w:rPr>
          <w:rFonts w:ascii="Bookman Old Style" w:hAnsi="Bookman Old Style"/>
          <w:szCs w:val="24"/>
        </w:rPr>
      </w:pPr>
    </w:p>
    <w:p w14:paraId="1C48827D"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24C2A5BE" w14:textId="77777777" w:rsidR="0046604B" w:rsidRPr="00304946" w:rsidRDefault="0046604B" w:rsidP="00304946">
      <w:pPr>
        <w:tabs>
          <w:tab w:val="left" w:pos="-1440"/>
          <w:tab w:val="left" w:pos="-720"/>
        </w:tabs>
        <w:rPr>
          <w:rFonts w:ascii="Bookman Old Style" w:hAnsi="Bookman Old Style"/>
          <w:szCs w:val="24"/>
        </w:rPr>
      </w:pPr>
    </w:p>
    <w:p w14:paraId="5A5D2391" w14:textId="3264039C"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9577F5">
        <w:rPr>
          <w:rFonts w:ascii="Bookman Old Style" w:hAnsi="Bookman Old Style"/>
          <w:szCs w:val="24"/>
        </w:rPr>
        <w:t>September 26, 2022</w:t>
      </w:r>
      <w:r w:rsidR="0046604B" w:rsidRPr="00304946">
        <w:rPr>
          <w:rFonts w:ascii="Bookman Old Style" w:hAnsi="Bookman Old Style"/>
          <w:szCs w:val="24"/>
        </w:rPr>
        <w:t>.</w:t>
      </w:r>
    </w:p>
    <w:p w14:paraId="422A5EB2" w14:textId="77777777" w:rsidR="0046604B" w:rsidRPr="00304946" w:rsidRDefault="0046604B" w:rsidP="00304946">
      <w:pPr>
        <w:tabs>
          <w:tab w:val="left" w:pos="-1440"/>
          <w:tab w:val="left" w:pos="-720"/>
        </w:tabs>
        <w:rPr>
          <w:rFonts w:ascii="Bookman Old Style" w:hAnsi="Bookman Old Style"/>
          <w:szCs w:val="24"/>
        </w:rPr>
      </w:pPr>
    </w:p>
    <w:p w14:paraId="6E7FB784"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34B02F86" w14:textId="77777777" w:rsidR="0046604B" w:rsidRPr="00304946" w:rsidRDefault="0046604B" w:rsidP="00304946">
      <w:pPr>
        <w:tabs>
          <w:tab w:val="left" w:pos="-1440"/>
          <w:tab w:val="left" w:pos="-720"/>
        </w:tabs>
        <w:rPr>
          <w:rFonts w:ascii="Bookman Old Style" w:hAnsi="Bookman Old Style"/>
          <w:szCs w:val="24"/>
        </w:rPr>
      </w:pPr>
    </w:p>
    <w:p w14:paraId="661C0929" w14:textId="77777777" w:rsidR="0046604B" w:rsidRPr="00304946" w:rsidRDefault="0046604B" w:rsidP="00304946">
      <w:pPr>
        <w:tabs>
          <w:tab w:val="left" w:pos="-1440"/>
          <w:tab w:val="left" w:pos="-720"/>
        </w:tabs>
        <w:rPr>
          <w:rFonts w:ascii="Bookman Old Style" w:hAnsi="Bookman Old Style"/>
          <w:szCs w:val="24"/>
        </w:rPr>
      </w:pPr>
    </w:p>
    <w:p w14:paraId="5C984FCC" w14:textId="37F6BF52"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9577F5">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14:paraId="5A3A2025" w14:textId="77777777"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7CE1" w14:textId="77777777" w:rsidR="00B24EDC" w:rsidRDefault="00B24EDC">
      <w:pPr>
        <w:widowControl/>
        <w:spacing w:line="20" w:lineRule="exact"/>
      </w:pPr>
    </w:p>
  </w:endnote>
  <w:endnote w:type="continuationSeparator" w:id="0">
    <w:p w14:paraId="5EE0E64B" w14:textId="77777777" w:rsidR="00B24EDC" w:rsidRDefault="00B24EDC">
      <w:r>
        <w:t xml:space="preserve"> </w:t>
      </w:r>
    </w:p>
  </w:endnote>
  <w:endnote w:type="continuationNotice" w:id="1">
    <w:p w14:paraId="2C3AA506" w14:textId="77777777" w:rsidR="00B24EDC" w:rsidRDefault="00B24E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DEEB" w14:textId="77777777" w:rsidR="00B24EDC" w:rsidRDefault="00B24EDC">
      <w:r>
        <w:separator/>
      </w:r>
    </w:p>
  </w:footnote>
  <w:footnote w:type="continuationSeparator" w:id="0">
    <w:p w14:paraId="3628E4FE" w14:textId="77777777" w:rsidR="00B24EDC" w:rsidRDefault="00B2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8653" w14:textId="5ECECD61"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6B4A31">
      <w:rPr>
        <w:rFonts w:ascii="Bookman Old Style" w:hAnsi="Bookman Old Style"/>
      </w:rPr>
      <w:t>22 0736</w:t>
    </w:r>
  </w:p>
  <w:p w14:paraId="1774D47A"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9F38F8">
      <w:rPr>
        <w:rStyle w:val="PageNumber"/>
        <w:rFonts w:ascii="Bookman Old Style" w:hAnsi="Bookman Old Style"/>
        <w:noProof/>
      </w:rPr>
      <w:t>2</w:t>
    </w:r>
    <w:r w:rsidRPr="000B3C03">
      <w:rPr>
        <w:rStyle w:val="PageNumber"/>
        <w:rFonts w:ascii="Bookman Old Style" w:hAnsi="Bookman Old Style"/>
      </w:rPr>
      <w:fldChar w:fldCharType="end"/>
    </w:r>
  </w:p>
  <w:p w14:paraId="78081A3E"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42700125">
    <w:abstractNumId w:val="1"/>
  </w:num>
  <w:num w:numId="2" w16cid:durableId="62234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DC"/>
    <w:rsid w:val="00001E6A"/>
    <w:rsid w:val="000274F7"/>
    <w:rsid w:val="00034258"/>
    <w:rsid w:val="00034E8A"/>
    <w:rsid w:val="00087A38"/>
    <w:rsid w:val="000B3C03"/>
    <w:rsid w:val="000C07A1"/>
    <w:rsid w:val="000E242A"/>
    <w:rsid w:val="000E7714"/>
    <w:rsid w:val="001249C2"/>
    <w:rsid w:val="00171C06"/>
    <w:rsid w:val="001F6B5B"/>
    <w:rsid w:val="00280EFF"/>
    <w:rsid w:val="002A1EF1"/>
    <w:rsid w:val="002D7F1A"/>
    <w:rsid w:val="00304946"/>
    <w:rsid w:val="00324065"/>
    <w:rsid w:val="00341E3C"/>
    <w:rsid w:val="00347206"/>
    <w:rsid w:val="00382259"/>
    <w:rsid w:val="0046604B"/>
    <w:rsid w:val="00476DC4"/>
    <w:rsid w:val="004D05FC"/>
    <w:rsid w:val="004E01C7"/>
    <w:rsid w:val="004F3BD6"/>
    <w:rsid w:val="004F7405"/>
    <w:rsid w:val="00591E67"/>
    <w:rsid w:val="00591FFA"/>
    <w:rsid w:val="005A674B"/>
    <w:rsid w:val="005E0966"/>
    <w:rsid w:val="005E53D0"/>
    <w:rsid w:val="00682FEC"/>
    <w:rsid w:val="006B4A31"/>
    <w:rsid w:val="006C67EA"/>
    <w:rsid w:val="006F7B1F"/>
    <w:rsid w:val="00703025"/>
    <w:rsid w:val="00713867"/>
    <w:rsid w:val="00746072"/>
    <w:rsid w:val="00780095"/>
    <w:rsid w:val="00782350"/>
    <w:rsid w:val="0078796F"/>
    <w:rsid w:val="00800C53"/>
    <w:rsid w:val="008034CB"/>
    <w:rsid w:val="00812C65"/>
    <w:rsid w:val="00824A4C"/>
    <w:rsid w:val="00871694"/>
    <w:rsid w:val="00890A0D"/>
    <w:rsid w:val="00897129"/>
    <w:rsid w:val="008E3C9F"/>
    <w:rsid w:val="0090239B"/>
    <w:rsid w:val="009577F5"/>
    <w:rsid w:val="009842BF"/>
    <w:rsid w:val="009F1763"/>
    <w:rsid w:val="009F38F8"/>
    <w:rsid w:val="00A158AF"/>
    <w:rsid w:val="00A91EDD"/>
    <w:rsid w:val="00AD5027"/>
    <w:rsid w:val="00AE37DC"/>
    <w:rsid w:val="00AE39CC"/>
    <w:rsid w:val="00B24EDC"/>
    <w:rsid w:val="00B6422F"/>
    <w:rsid w:val="00B72674"/>
    <w:rsid w:val="00BC45C9"/>
    <w:rsid w:val="00C56D4F"/>
    <w:rsid w:val="00DC68B2"/>
    <w:rsid w:val="00E01927"/>
    <w:rsid w:val="00E13AAA"/>
    <w:rsid w:val="00E2668C"/>
    <w:rsid w:val="00E95F25"/>
    <w:rsid w:val="00E96FC3"/>
    <w:rsid w:val="00EA2CC6"/>
    <w:rsid w:val="00EB4EAF"/>
    <w:rsid w:val="00F06561"/>
    <w:rsid w:val="00F5365D"/>
    <w:rsid w:val="00F91C54"/>
    <w:rsid w:val="00FF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569B64"/>
  <w15:chartTrackingRefBased/>
  <w15:docId w15:val="{37E9540D-848C-4319-9A82-32229DBF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16A8-F2D9-4E61-A9AE-3E54530F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Template>
  <TotalTime>1</TotalTime>
  <Pages>4</Pages>
  <Words>1202</Words>
  <Characters>6038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2022-09-26T23:41:00Z</dcterms:created>
  <dcterms:modified xsi:type="dcterms:W3CDTF">2022-09-26T23:41:00Z</dcterms:modified>
</cp:coreProperties>
</file>