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B7534" w14:textId="7AE6377E" w:rsidR="00EB0E9D" w:rsidRPr="00D82DF6" w:rsidRDefault="000B79CE" w:rsidP="00D82DF6">
      <w:pPr>
        <w:widowControl/>
        <w:tabs>
          <w:tab w:val="center" w:pos="4680"/>
        </w:tabs>
        <w:suppressAutoHyphens/>
        <w:jc w:val="center"/>
        <w:rPr>
          <w:rFonts w:ascii="Bookman Old Style" w:hAnsi="Bookman Old Style"/>
          <w:b/>
          <w:szCs w:val="24"/>
        </w:rPr>
      </w:pPr>
      <w:r w:rsidRPr="00D82DF6">
        <w:rPr>
          <w:rFonts w:ascii="Bookman Old Style" w:hAnsi="Bookman Old Style"/>
          <w:noProof/>
          <w:szCs w:val="24"/>
        </w:rPr>
        <w:drawing>
          <wp:anchor distT="0" distB="0" distL="114300" distR="114300" simplePos="0" relativeHeight="251657728" behindDoc="1" locked="0" layoutInCell="1" allowOverlap="1" wp14:anchorId="7F1233CD" wp14:editId="0A6FB7AE">
            <wp:simplePos x="0" y="0"/>
            <wp:positionH relativeFrom="column">
              <wp:posOffset>-744220</wp:posOffset>
            </wp:positionH>
            <wp:positionV relativeFrom="paragraph">
              <wp:posOffset>-266065</wp:posOffset>
            </wp:positionV>
            <wp:extent cx="7453630" cy="1750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EC141E"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70CCC6FF"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7AFB0777"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0B5A508D"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22D0EF7D"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44806614"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0CD8D4AD" w14:textId="77777777" w:rsidR="00EB0E9D" w:rsidRPr="00D82DF6" w:rsidRDefault="00EB0E9D" w:rsidP="00D82DF6">
      <w:pPr>
        <w:widowControl/>
        <w:tabs>
          <w:tab w:val="left" w:pos="-720"/>
        </w:tabs>
        <w:suppressAutoHyphens/>
        <w:rPr>
          <w:rFonts w:ascii="Bookman Old Style" w:hAnsi="Bookman Old Style"/>
          <w:szCs w:val="24"/>
        </w:rPr>
      </w:pPr>
    </w:p>
    <w:p w14:paraId="7563A84B" w14:textId="77777777" w:rsidR="005A281D" w:rsidRPr="00D82DF6" w:rsidRDefault="005A281D" w:rsidP="00D82DF6">
      <w:pPr>
        <w:pStyle w:val="Heading3"/>
        <w:widowControl/>
        <w:tabs>
          <w:tab w:val="center" w:pos="4680"/>
        </w:tabs>
        <w:suppressAutoHyphens/>
        <w:rPr>
          <w:rFonts w:ascii="Bookman Old Style" w:hAnsi="Bookman Old Style"/>
          <w:szCs w:val="24"/>
        </w:rPr>
      </w:pPr>
      <w:r w:rsidRPr="00D82DF6">
        <w:rPr>
          <w:rFonts w:ascii="Bookman Old Style" w:hAnsi="Bookman Old Style"/>
          <w:szCs w:val="24"/>
        </w:rPr>
        <w:t>APPEAL TRIBUNAL DECISION</w:t>
      </w:r>
    </w:p>
    <w:p w14:paraId="0B3C2EF9" w14:textId="77777777" w:rsidR="005A281D" w:rsidRPr="00D82DF6" w:rsidRDefault="005A281D" w:rsidP="00D82DF6">
      <w:pPr>
        <w:widowControl/>
        <w:tabs>
          <w:tab w:val="left" w:pos="-720"/>
        </w:tabs>
        <w:suppressAutoHyphens/>
        <w:rPr>
          <w:rFonts w:ascii="Bookman Old Style" w:hAnsi="Bookman Old Style"/>
          <w:szCs w:val="24"/>
        </w:rPr>
      </w:pPr>
    </w:p>
    <w:p w14:paraId="1EE2C553" w14:textId="7966B2C8" w:rsidR="00441439" w:rsidRPr="00D82DF6" w:rsidRDefault="00193EB9" w:rsidP="00D82DF6">
      <w:pPr>
        <w:widowControl/>
        <w:tabs>
          <w:tab w:val="center" w:pos="4680"/>
        </w:tabs>
        <w:suppressAutoHyphens/>
        <w:jc w:val="center"/>
        <w:outlineLvl w:val="0"/>
        <w:rPr>
          <w:rFonts w:ascii="Bookman Old Style" w:hAnsi="Bookman Old Style"/>
          <w:szCs w:val="24"/>
        </w:rPr>
      </w:pPr>
      <w:r w:rsidRPr="00D82DF6">
        <w:rPr>
          <w:rFonts w:ascii="Bookman Old Style" w:hAnsi="Bookman Old Style"/>
          <w:b/>
          <w:szCs w:val="24"/>
        </w:rPr>
        <w:t xml:space="preserve">Docket </w:t>
      </w:r>
      <w:r w:rsidR="007C0440" w:rsidRPr="00D82DF6">
        <w:rPr>
          <w:rFonts w:ascii="Bookman Old Style" w:hAnsi="Bookman Old Style"/>
          <w:b/>
          <w:szCs w:val="24"/>
        </w:rPr>
        <w:t>number:</w:t>
      </w:r>
      <w:r w:rsidR="00441439" w:rsidRPr="00D82DF6">
        <w:rPr>
          <w:rFonts w:ascii="Bookman Old Style" w:hAnsi="Bookman Old Style"/>
          <w:szCs w:val="24"/>
        </w:rPr>
        <w:t xml:space="preserve"> </w:t>
      </w:r>
      <w:r w:rsidR="00C9274F">
        <w:rPr>
          <w:rFonts w:ascii="Bookman Old Style" w:hAnsi="Bookman Old Style"/>
          <w:szCs w:val="24"/>
        </w:rPr>
        <w:t>22 0958</w:t>
      </w:r>
      <w:r w:rsidR="00441439" w:rsidRPr="00D82DF6">
        <w:rPr>
          <w:rFonts w:ascii="Bookman Old Style" w:hAnsi="Bookman Old Style"/>
          <w:szCs w:val="24"/>
        </w:rPr>
        <w:t xml:space="preserve">     </w:t>
      </w:r>
      <w:r w:rsidRPr="00D82DF6">
        <w:rPr>
          <w:rFonts w:ascii="Bookman Old Style" w:hAnsi="Bookman Old Style"/>
          <w:b/>
          <w:szCs w:val="24"/>
        </w:rPr>
        <w:t>Hearing d</w:t>
      </w:r>
      <w:r w:rsidR="00441439" w:rsidRPr="00D82DF6">
        <w:rPr>
          <w:rFonts w:ascii="Bookman Old Style" w:hAnsi="Bookman Old Style"/>
          <w:b/>
          <w:szCs w:val="24"/>
        </w:rPr>
        <w:t>ate:</w:t>
      </w:r>
      <w:r w:rsidR="00441439" w:rsidRPr="00D82DF6">
        <w:rPr>
          <w:rFonts w:ascii="Bookman Old Style" w:hAnsi="Bookman Old Style"/>
          <w:szCs w:val="24"/>
        </w:rPr>
        <w:t xml:space="preserve"> </w:t>
      </w:r>
      <w:r w:rsidR="00C9274F">
        <w:rPr>
          <w:rFonts w:ascii="Bookman Old Style" w:hAnsi="Bookman Old Style"/>
          <w:szCs w:val="24"/>
        </w:rPr>
        <w:t>December 14, 2022</w:t>
      </w:r>
    </w:p>
    <w:p w14:paraId="7CB8C3D6"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573DDBE8" w14:textId="77777777" w:rsidR="00441439" w:rsidRPr="00D82DF6" w:rsidRDefault="00441439" w:rsidP="00C9274F">
      <w:pPr>
        <w:widowControl/>
        <w:tabs>
          <w:tab w:val="left" w:pos="-1440"/>
          <w:tab w:val="left" w:pos="-720"/>
          <w:tab w:val="left" w:pos="0"/>
          <w:tab w:val="left" w:pos="4680"/>
          <w:tab w:val="left" w:pos="5760"/>
        </w:tabs>
        <w:suppressAutoHyphens/>
        <w:ind w:right="-360"/>
        <w:outlineLvl w:val="0"/>
        <w:rPr>
          <w:rFonts w:ascii="Bookman Old Style" w:hAnsi="Bookman Old Style"/>
          <w:szCs w:val="24"/>
        </w:rPr>
      </w:pPr>
      <w:r w:rsidRPr="00D82DF6">
        <w:rPr>
          <w:rFonts w:ascii="Bookman Old Style" w:hAnsi="Bookman Old Style"/>
          <w:b/>
          <w:szCs w:val="24"/>
        </w:rPr>
        <w:t>CLAIMANT:</w:t>
      </w:r>
      <w:r w:rsidRPr="00D82DF6">
        <w:rPr>
          <w:rFonts w:ascii="Bookman Old Style" w:hAnsi="Bookman Old Style"/>
          <w:b/>
          <w:szCs w:val="24"/>
        </w:rPr>
        <w:tab/>
        <w:t>EMPLOYER:</w:t>
      </w:r>
    </w:p>
    <w:p w14:paraId="7B2A3429" w14:textId="77777777" w:rsidR="00441439" w:rsidRPr="00D82DF6" w:rsidRDefault="00441439" w:rsidP="00C9274F">
      <w:pPr>
        <w:widowControl/>
        <w:tabs>
          <w:tab w:val="left" w:pos="-1440"/>
          <w:tab w:val="left" w:pos="-720"/>
          <w:tab w:val="left" w:pos="0"/>
          <w:tab w:val="left" w:pos="4680"/>
          <w:tab w:val="left" w:pos="5760"/>
        </w:tabs>
        <w:suppressAutoHyphens/>
        <w:ind w:right="-360"/>
        <w:rPr>
          <w:rFonts w:ascii="Bookman Old Style" w:hAnsi="Bookman Old Style"/>
          <w:szCs w:val="24"/>
        </w:rPr>
      </w:pPr>
    </w:p>
    <w:p w14:paraId="140AD056" w14:textId="2C902AB0" w:rsidR="00C9274F" w:rsidRPr="00C9274F" w:rsidRDefault="00C9274F" w:rsidP="00C9274F">
      <w:pPr>
        <w:widowControl/>
        <w:tabs>
          <w:tab w:val="left" w:pos="-1440"/>
          <w:tab w:val="left" w:pos="-720"/>
          <w:tab w:val="left" w:pos="0"/>
          <w:tab w:val="left" w:pos="4680"/>
          <w:tab w:val="left" w:pos="5760"/>
        </w:tabs>
        <w:suppressAutoHyphens/>
        <w:ind w:right="-360"/>
        <w:rPr>
          <w:rFonts w:ascii="Bookman Old Style" w:hAnsi="Bookman Old Style"/>
          <w:szCs w:val="24"/>
        </w:rPr>
      </w:pPr>
      <w:r w:rsidRPr="00C9274F">
        <w:rPr>
          <w:rFonts w:ascii="Bookman Old Style" w:hAnsi="Bookman Old Style"/>
          <w:szCs w:val="24"/>
        </w:rPr>
        <w:t>KORY ATES</w:t>
      </w:r>
      <w:r>
        <w:rPr>
          <w:rFonts w:ascii="Bookman Old Style" w:hAnsi="Bookman Old Style"/>
          <w:szCs w:val="24"/>
        </w:rPr>
        <w:tab/>
      </w:r>
      <w:r w:rsidRPr="00C9274F">
        <w:rPr>
          <w:rFonts w:ascii="Bookman Old Style" w:hAnsi="Bookman Old Style"/>
          <w:szCs w:val="24"/>
        </w:rPr>
        <w:t>LINKS MAT-SU PARENT RES CENTER</w:t>
      </w:r>
    </w:p>
    <w:p w14:paraId="1D2003C8" w14:textId="16B3066E" w:rsidR="00441439" w:rsidRDefault="00441439" w:rsidP="00C9274F">
      <w:pPr>
        <w:widowControl/>
        <w:tabs>
          <w:tab w:val="left" w:pos="-1440"/>
          <w:tab w:val="left" w:pos="-720"/>
          <w:tab w:val="left" w:pos="0"/>
          <w:tab w:val="left" w:pos="4680"/>
          <w:tab w:val="left" w:pos="5760"/>
        </w:tabs>
        <w:suppressAutoHyphens/>
        <w:ind w:right="-360"/>
        <w:rPr>
          <w:rFonts w:ascii="Bookman Old Style" w:hAnsi="Bookman Old Style"/>
          <w:szCs w:val="24"/>
        </w:rPr>
      </w:pPr>
    </w:p>
    <w:p w14:paraId="6D0A599D" w14:textId="411CC9F5" w:rsidR="000B79CE" w:rsidRDefault="000B79CE" w:rsidP="00C9274F">
      <w:pPr>
        <w:widowControl/>
        <w:tabs>
          <w:tab w:val="left" w:pos="-1440"/>
          <w:tab w:val="left" w:pos="-720"/>
          <w:tab w:val="left" w:pos="0"/>
          <w:tab w:val="left" w:pos="4680"/>
          <w:tab w:val="left" w:pos="5760"/>
        </w:tabs>
        <w:suppressAutoHyphens/>
        <w:ind w:right="-360"/>
        <w:rPr>
          <w:rFonts w:ascii="Bookman Old Style" w:hAnsi="Bookman Old Style"/>
          <w:szCs w:val="24"/>
        </w:rPr>
      </w:pPr>
    </w:p>
    <w:p w14:paraId="087C8177" w14:textId="77777777" w:rsidR="000B79CE" w:rsidRPr="00D82DF6" w:rsidRDefault="000B79CE" w:rsidP="00C9274F">
      <w:pPr>
        <w:widowControl/>
        <w:tabs>
          <w:tab w:val="left" w:pos="-1440"/>
          <w:tab w:val="left" w:pos="-720"/>
          <w:tab w:val="left" w:pos="0"/>
          <w:tab w:val="left" w:pos="4680"/>
          <w:tab w:val="left" w:pos="5760"/>
        </w:tabs>
        <w:suppressAutoHyphens/>
        <w:ind w:right="-360"/>
        <w:rPr>
          <w:rFonts w:ascii="Bookman Old Style" w:hAnsi="Bookman Old Style"/>
          <w:szCs w:val="24"/>
        </w:rPr>
      </w:pPr>
    </w:p>
    <w:p w14:paraId="703DBEEF" w14:textId="77777777" w:rsidR="00441439" w:rsidRPr="00D82DF6" w:rsidRDefault="00441439" w:rsidP="00C9274F">
      <w:pPr>
        <w:widowControl/>
        <w:tabs>
          <w:tab w:val="left" w:pos="-1440"/>
          <w:tab w:val="left" w:pos="-720"/>
          <w:tab w:val="left" w:pos="0"/>
          <w:tab w:val="left" w:pos="4680"/>
          <w:tab w:val="left" w:pos="5760"/>
        </w:tabs>
        <w:suppressAutoHyphens/>
        <w:ind w:right="-360"/>
        <w:rPr>
          <w:rFonts w:ascii="Bookman Old Style" w:hAnsi="Bookman Old Style"/>
          <w:szCs w:val="24"/>
        </w:rPr>
      </w:pPr>
    </w:p>
    <w:p w14:paraId="0BD2C845" w14:textId="77777777" w:rsidR="00441439" w:rsidRPr="00D82DF6" w:rsidRDefault="00441439" w:rsidP="00C9274F">
      <w:pPr>
        <w:widowControl/>
        <w:tabs>
          <w:tab w:val="left" w:pos="-1440"/>
          <w:tab w:val="left" w:pos="-720"/>
          <w:tab w:val="left" w:pos="0"/>
          <w:tab w:val="left" w:pos="4680"/>
          <w:tab w:val="left" w:pos="5760"/>
        </w:tabs>
        <w:suppressAutoHyphens/>
        <w:ind w:right="-360"/>
        <w:rPr>
          <w:rFonts w:ascii="Bookman Old Style" w:hAnsi="Bookman Old Style"/>
          <w:szCs w:val="24"/>
        </w:rPr>
      </w:pPr>
      <w:r w:rsidRPr="00D82DF6">
        <w:rPr>
          <w:rFonts w:ascii="Bookman Old Style" w:hAnsi="Bookman Old Style"/>
          <w:b/>
          <w:szCs w:val="24"/>
        </w:rPr>
        <w:t>CLAIMANT APPEARANCES:</w:t>
      </w:r>
      <w:r w:rsidRPr="00D82DF6">
        <w:rPr>
          <w:rFonts w:ascii="Bookman Old Style" w:hAnsi="Bookman Old Style"/>
          <w:b/>
          <w:szCs w:val="24"/>
        </w:rPr>
        <w:tab/>
        <w:t>EMPLOYER APPEARANCES:</w:t>
      </w:r>
    </w:p>
    <w:p w14:paraId="3059B2D8" w14:textId="77777777" w:rsidR="00441439" w:rsidRPr="00D82DF6" w:rsidRDefault="00441439" w:rsidP="00C9274F">
      <w:pPr>
        <w:widowControl/>
        <w:tabs>
          <w:tab w:val="left" w:pos="-1440"/>
          <w:tab w:val="left" w:pos="-720"/>
          <w:tab w:val="left" w:pos="0"/>
          <w:tab w:val="left" w:pos="4680"/>
          <w:tab w:val="left" w:pos="5760"/>
        </w:tabs>
        <w:suppressAutoHyphens/>
        <w:ind w:right="-360"/>
        <w:rPr>
          <w:rFonts w:ascii="Bookman Old Style" w:hAnsi="Bookman Old Style"/>
          <w:szCs w:val="24"/>
        </w:rPr>
      </w:pPr>
    </w:p>
    <w:p w14:paraId="7C2ECFA6" w14:textId="14908BF9" w:rsidR="00441439" w:rsidRPr="00D82DF6" w:rsidRDefault="00C9274F" w:rsidP="00C9274F">
      <w:pPr>
        <w:widowControl/>
        <w:tabs>
          <w:tab w:val="left" w:pos="-1440"/>
          <w:tab w:val="left" w:pos="-720"/>
          <w:tab w:val="left" w:pos="0"/>
          <w:tab w:val="left" w:pos="4680"/>
          <w:tab w:val="left" w:pos="5760"/>
        </w:tabs>
        <w:suppressAutoHyphens/>
        <w:ind w:right="-360"/>
        <w:rPr>
          <w:rFonts w:ascii="Bookman Old Style" w:hAnsi="Bookman Old Style"/>
          <w:szCs w:val="24"/>
        </w:rPr>
      </w:pPr>
      <w:r>
        <w:rPr>
          <w:rFonts w:ascii="Bookman Old Style" w:hAnsi="Bookman Old Style"/>
          <w:szCs w:val="24"/>
        </w:rPr>
        <w:t>Kory Ates</w:t>
      </w:r>
      <w:r w:rsidR="00441439" w:rsidRPr="00D82DF6">
        <w:rPr>
          <w:rFonts w:ascii="Bookman Old Style" w:hAnsi="Bookman Old Style"/>
          <w:szCs w:val="24"/>
        </w:rPr>
        <w:tab/>
      </w:r>
      <w:r>
        <w:rPr>
          <w:rFonts w:ascii="Bookman Old Style" w:hAnsi="Bookman Old Style"/>
          <w:szCs w:val="24"/>
        </w:rPr>
        <w:t>None</w:t>
      </w:r>
    </w:p>
    <w:p w14:paraId="3B7CB8A4" w14:textId="77777777" w:rsidR="005A281D" w:rsidRPr="00D82DF6" w:rsidRDefault="005A281D" w:rsidP="00D82DF6">
      <w:pPr>
        <w:widowControl/>
        <w:tabs>
          <w:tab w:val="left" w:pos="-1440"/>
          <w:tab w:val="left" w:pos="-720"/>
          <w:tab w:val="left" w:pos="0"/>
          <w:tab w:val="left" w:pos="5760"/>
        </w:tabs>
        <w:suppressAutoHyphens/>
        <w:ind w:right="-360"/>
        <w:rPr>
          <w:rFonts w:ascii="Bookman Old Style" w:hAnsi="Bookman Old Style"/>
          <w:szCs w:val="24"/>
        </w:rPr>
      </w:pPr>
    </w:p>
    <w:p w14:paraId="3AC442DF"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CASE HISTORY</w:t>
      </w:r>
    </w:p>
    <w:p w14:paraId="16462FF1" w14:textId="77777777" w:rsidR="00441439" w:rsidRPr="00D82DF6" w:rsidRDefault="00441439" w:rsidP="00D82DF6">
      <w:pPr>
        <w:tabs>
          <w:tab w:val="left" w:pos="-1440"/>
          <w:tab w:val="left" w:pos="-720"/>
        </w:tabs>
        <w:rPr>
          <w:rFonts w:ascii="Bookman Old Style" w:hAnsi="Bookman Old Style"/>
          <w:szCs w:val="24"/>
        </w:rPr>
      </w:pPr>
    </w:p>
    <w:p w14:paraId="1DA9FC9B" w14:textId="707A2219" w:rsidR="00441439" w:rsidRPr="00D82DF6" w:rsidRDefault="00441439" w:rsidP="00D82DF6">
      <w:pPr>
        <w:widowControl/>
        <w:spacing w:after="200"/>
        <w:rPr>
          <w:rFonts w:ascii="Bookman Old Style" w:hAnsi="Bookman Old Style"/>
          <w:snapToGrid/>
          <w:szCs w:val="24"/>
        </w:rPr>
      </w:pPr>
      <w:r w:rsidRPr="00D82DF6">
        <w:rPr>
          <w:rFonts w:ascii="Bookman Old Style" w:hAnsi="Bookman Old Style"/>
          <w:snapToGrid/>
          <w:szCs w:val="24"/>
        </w:rPr>
        <w:t xml:space="preserve">The </w:t>
      </w:r>
      <w:r w:rsidR="00C9274F">
        <w:rPr>
          <w:rFonts w:ascii="Bookman Old Style" w:hAnsi="Bookman Old Style"/>
          <w:szCs w:val="24"/>
        </w:rPr>
        <w:t>claimant</w:t>
      </w:r>
      <w:r w:rsidR="00FD077C">
        <w:rPr>
          <w:rFonts w:ascii="Bookman Old Style" w:hAnsi="Bookman Old Style"/>
          <w:szCs w:val="24"/>
        </w:rPr>
        <w:t xml:space="preserve"> </w:t>
      </w:r>
      <w:r w:rsidRPr="00D82DF6">
        <w:rPr>
          <w:rFonts w:ascii="Bookman Old Style" w:hAnsi="Bookman Old Style"/>
          <w:snapToGrid/>
          <w:szCs w:val="24"/>
        </w:rPr>
        <w:t>timely appealed a</w:t>
      </w:r>
      <w:r w:rsidR="00C9274F">
        <w:rPr>
          <w:rFonts w:ascii="Bookman Old Style" w:hAnsi="Bookman Old Style"/>
          <w:snapToGrid/>
          <w:szCs w:val="24"/>
        </w:rPr>
        <w:t>n October 31, 2022</w:t>
      </w:r>
      <w:r w:rsidRPr="00D82DF6">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w:t>
      </w:r>
    </w:p>
    <w:p w14:paraId="1D4C87CC"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FINDINGS OF FACT</w:t>
      </w:r>
    </w:p>
    <w:p w14:paraId="1C026D83" w14:textId="77777777" w:rsidR="00441439" w:rsidRPr="00D82DF6" w:rsidRDefault="00441439" w:rsidP="00D82DF6">
      <w:pPr>
        <w:tabs>
          <w:tab w:val="left" w:pos="-1440"/>
          <w:tab w:val="left" w:pos="-720"/>
        </w:tabs>
        <w:rPr>
          <w:rFonts w:ascii="Bookman Old Style" w:hAnsi="Bookman Old Style"/>
          <w:szCs w:val="24"/>
        </w:rPr>
      </w:pPr>
    </w:p>
    <w:p w14:paraId="5D3A3A71" w14:textId="1855688D" w:rsidR="00D82DF6" w:rsidRDefault="00441439" w:rsidP="00D82DF6">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 xml:space="preserve">The claimant began work for the employer on </w:t>
      </w:r>
      <w:r w:rsidR="00892B85">
        <w:rPr>
          <w:rFonts w:ascii="Bookman Old Style" w:hAnsi="Bookman Old Style"/>
          <w:snapToGrid/>
          <w:szCs w:val="24"/>
        </w:rPr>
        <w:t>June 10, 2022</w:t>
      </w:r>
      <w:r w:rsidRPr="00D82DF6">
        <w:rPr>
          <w:rFonts w:ascii="Bookman Old Style" w:hAnsi="Bookman Old Style"/>
          <w:snapToGrid/>
          <w:szCs w:val="24"/>
        </w:rPr>
        <w:t xml:space="preserve">. </w:t>
      </w:r>
      <w:r w:rsidR="00892B85">
        <w:rPr>
          <w:rFonts w:ascii="Bookman Old Style" w:hAnsi="Bookman Old Style"/>
          <w:snapToGrid/>
          <w:szCs w:val="24"/>
        </w:rPr>
        <w:t>She</w:t>
      </w:r>
      <w:r w:rsidRPr="00D82DF6">
        <w:rPr>
          <w:rFonts w:ascii="Bookman Old Style" w:hAnsi="Bookman Old Style"/>
          <w:snapToGrid/>
          <w:szCs w:val="24"/>
        </w:rPr>
        <w:t xml:space="preserve"> last worked on </w:t>
      </w:r>
      <w:r w:rsidR="00892B85">
        <w:rPr>
          <w:rFonts w:ascii="Bookman Old Style" w:hAnsi="Bookman Old Style"/>
          <w:snapToGrid/>
          <w:szCs w:val="24"/>
        </w:rPr>
        <w:t>October 7, 2022</w:t>
      </w:r>
      <w:r w:rsidRPr="00D82DF6">
        <w:rPr>
          <w:rFonts w:ascii="Bookman Old Style" w:hAnsi="Bookman Old Style"/>
          <w:snapToGrid/>
          <w:szCs w:val="24"/>
        </w:rPr>
        <w:t xml:space="preserve">. At that time, </w:t>
      </w:r>
      <w:r w:rsidR="00892B85">
        <w:rPr>
          <w:rFonts w:ascii="Bookman Old Style" w:hAnsi="Bookman Old Style"/>
          <w:snapToGrid/>
          <w:szCs w:val="24"/>
        </w:rPr>
        <w:t>she</w:t>
      </w:r>
      <w:r w:rsidRPr="00D82DF6">
        <w:rPr>
          <w:rFonts w:ascii="Bookman Old Style" w:hAnsi="Bookman Old Style"/>
          <w:snapToGrid/>
          <w:szCs w:val="24"/>
        </w:rPr>
        <w:t xml:space="preserve"> worked </w:t>
      </w:r>
      <w:r w:rsidR="00892B85">
        <w:rPr>
          <w:rFonts w:ascii="Bookman Old Style" w:hAnsi="Bookman Old Style"/>
          <w:snapToGrid/>
          <w:szCs w:val="24"/>
        </w:rPr>
        <w:t>full-time</w:t>
      </w:r>
      <w:r w:rsidRPr="00D82DF6">
        <w:rPr>
          <w:rFonts w:ascii="Bookman Old Style" w:hAnsi="Bookman Old Style"/>
          <w:snapToGrid/>
          <w:szCs w:val="24"/>
        </w:rPr>
        <w:t xml:space="preserve"> as a </w:t>
      </w:r>
      <w:r w:rsidR="00892B85">
        <w:rPr>
          <w:rFonts w:ascii="Bookman Old Style" w:hAnsi="Bookman Old Style"/>
          <w:snapToGrid/>
          <w:szCs w:val="24"/>
        </w:rPr>
        <w:t>community health aide</w:t>
      </w:r>
      <w:r w:rsidRPr="00D82DF6">
        <w:rPr>
          <w:rFonts w:ascii="Bookman Old Style" w:hAnsi="Bookman Old Style"/>
          <w:snapToGrid/>
          <w:szCs w:val="24"/>
        </w:rPr>
        <w:t>.</w:t>
      </w:r>
    </w:p>
    <w:p w14:paraId="70EC8BFC" w14:textId="65C400E2" w:rsidR="00CF5484" w:rsidRDefault="00233FAA"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On August 22, t</w:t>
      </w:r>
      <w:r w:rsidR="00892B85">
        <w:rPr>
          <w:rFonts w:ascii="Bookman Old Style" w:hAnsi="Bookman Old Style"/>
          <w:snapToGrid/>
          <w:szCs w:val="24"/>
        </w:rPr>
        <w:t>he claimant was warned for being tardy</w:t>
      </w:r>
      <w:r w:rsidR="00CF5484">
        <w:rPr>
          <w:rFonts w:ascii="Bookman Old Style" w:hAnsi="Bookman Old Style"/>
          <w:snapToGrid/>
          <w:szCs w:val="24"/>
        </w:rPr>
        <w:t>, for failing to keep the employer notified of her location in the field,</w:t>
      </w:r>
      <w:r w:rsidR="00892B85">
        <w:rPr>
          <w:rFonts w:ascii="Bookman Old Style" w:hAnsi="Bookman Old Style"/>
          <w:snapToGrid/>
          <w:szCs w:val="24"/>
        </w:rPr>
        <w:t xml:space="preserve"> and for not properly advising her supervisor of a meeting arranged with a client when the claimant called out sick. The claimant’s probation period was extended for an additional 30 days. </w:t>
      </w:r>
      <w:r w:rsidR="00CF5484">
        <w:rPr>
          <w:rFonts w:ascii="Bookman Old Style" w:hAnsi="Bookman Old Style"/>
          <w:snapToGrid/>
          <w:szCs w:val="24"/>
        </w:rPr>
        <w:t xml:space="preserve">The claimant held that her tardiness was a misunderstanding from her initial training that she could consider herself on the clock if she picked up a work call.  The claimant improved her tardiness after the warnings. </w:t>
      </w:r>
    </w:p>
    <w:p w14:paraId="0745E379" w14:textId="2394BD65" w:rsidR="00CF5484" w:rsidRDefault="00892B85"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In the last month or two of her work, the claimant </w:t>
      </w:r>
      <w:r w:rsidR="00CF5484">
        <w:rPr>
          <w:rFonts w:ascii="Bookman Old Style" w:hAnsi="Bookman Old Style"/>
          <w:snapToGrid/>
          <w:szCs w:val="24"/>
        </w:rPr>
        <w:t xml:space="preserve">was </w:t>
      </w:r>
      <w:r>
        <w:rPr>
          <w:rFonts w:ascii="Bookman Old Style" w:hAnsi="Bookman Old Style"/>
          <w:snapToGrid/>
          <w:szCs w:val="24"/>
        </w:rPr>
        <w:t>unhappy with a co-worker who was looking through the claimant’s</w:t>
      </w:r>
      <w:r w:rsidR="00CF5484">
        <w:rPr>
          <w:rFonts w:ascii="Bookman Old Style" w:hAnsi="Bookman Old Style"/>
          <w:snapToGrid/>
          <w:szCs w:val="24"/>
        </w:rPr>
        <w:t xml:space="preserve"> client</w:t>
      </w:r>
      <w:r>
        <w:rPr>
          <w:rFonts w:ascii="Bookman Old Style" w:hAnsi="Bookman Old Style"/>
          <w:snapToGrid/>
          <w:szCs w:val="24"/>
        </w:rPr>
        <w:t xml:space="preserve"> files and telling the supervisor that reports were missing.  The claimant was upset by the co-worker</w:t>
      </w:r>
      <w:r w:rsidR="00233FAA">
        <w:rPr>
          <w:rFonts w:ascii="Bookman Old Style" w:hAnsi="Bookman Old Style"/>
          <w:snapToGrid/>
          <w:szCs w:val="24"/>
        </w:rPr>
        <w:t>’</w:t>
      </w:r>
      <w:r>
        <w:rPr>
          <w:rFonts w:ascii="Bookman Old Style" w:hAnsi="Bookman Old Style"/>
          <w:snapToGrid/>
          <w:szCs w:val="24"/>
        </w:rPr>
        <w:t>s actions and requested a m</w:t>
      </w:r>
      <w:r w:rsidR="00CF5484">
        <w:rPr>
          <w:rFonts w:ascii="Bookman Old Style" w:hAnsi="Bookman Old Style"/>
          <w:snapToGrid/>
          <w:szCs w:val="24"/>
        </w:rPr>
        <w:t>e</w:t>
      </w:r>
      <w:r>
        <w:rPr>
          <w:rFonts w:ascii="Bookman Old Style" w:hAnsi="Bookman Old Style"/>
          <w:snapToGrid/>
          <w:szCs w:val="24"/>
        </w:rPr>
        <w:t>eting with the director</w:t>
      </w:r>
      <w:r w:rsidR="00CF5484">
        <w:rPr>
          <w:rFonts w:ascii="Bookman Old Style" w:hAnsi="Bookman Old Style"/>
          <w:snapToGrid/>
          <w:szCs w:val="24"/>
        </w:rPr>
        <w:t xml:space="preserve"> to talk about the lack of team work</w:t>
      </w:r>
      <w:r>
        <w:rPr>
          <w:rFonts w:ascii="Bookman Old Style" w:hAnsi="Bookman Old Style"/>
          <w:snapToGrid/>
          <w:szCs w:val="24"/>
        </w:rPr>
        <w:t xml:space="preserve">. When the meeting took place, </w:t>
      </w:r>
      <w:r w:rsidR="00CF5484">
        <w:rPr>
          <w:rFonts w:ascii="Bookman Old Style" w:hAnsi="Bookman Old Style"/>
          <w:snapToGrid/>
          <w:szCs w:val="24"/>
        </w:rPr>
        <w:t xml:space="preserve">it turned into a counseling for the </w:t>
      </w:r>
      <w:r>
        <w:rPr>
          <w:rFonts w:ascii="Bookman Old Style" w:hAnsi="Bookman Old Style"/>
          <w:snapToGrid/>
          <w:szCs w:val="24"/>
        </w:rPr>
        <w:t xml:space="preserve">claimant for not </w:t>
      </w:r>
      <w:r w:rsidR="00233FAA">
        <w:rPr>
          <w:rFonts w:ascii="Bookman Old Style" w:hAnsi="Bookman Old Style"/>
          <w:snapToGrid/>
          <w:szCs w:val="24"/>
        </w:rPr>
        <w:t>timely</w:t>
      </w:r>
      <w:r>
        <w:rPr>
          <w:rFonts w:ascii="Bookman Old Style" w:hAnsi="Bookman Old Style"/>
          <w:snapToGrid/>
          <w:szCs w:val="24"/>
        </w:rPr>
        <w:t xml:space="preserve"> completing her reports. The claimant held that the reports were not time-sensitive and could have been completed later. </w:t>
      </w:r>
    </w:p>
    <w:p w14:paraId="21383FE7" w14:textId="6E10AF24" w:rsidR="00892B85" w:rsidRPr="00D82DF6" w:rsidRDefault="00CF5484"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lastRenderedPageBreak/>
        <w:t>On one occasion, t</w:t>
      </w:r>
      <w:r w:rsidR="00892B85">
        <w:rPr>
          <w:rFonts w:ascii="Bookman Old Style" w:hAnsi="Bookman Old Style"/>
          <w:snapToGrid/>
          <w:szCs w:val="24"/>
        </w:rPr>
        <w:t xml:space="preserve">he claimant entered </w:t>
      </w:r>
      <w:r>
        <w:rPr>
          <w:rFonts w:ascii="Bookman Old Style" w:hAnsi="Bookman Old Style"/>
          <w:snapToGrid/>
          <w:szCs w:val="24"/>
        </w:rPr>
        <w:t>the</w:t>
      </w:r>
      <w:r w:rsidR="00892B85">
        <w:rPr>
          <w:rFonts w:ascii="Bookman Old Style" w:hAnsi="Bookman Old Style"/>
          <w:snapToGrid/>
          <w:szCs w:val="24"/>
        </w:rPr>
        <w:t xml:space="preserve"> office to find her coworkers talking about her clients.  The claimant decided that the only reason </w:t>
      </w:r>
      <w:r>
        <w:rPr>
          <w:rFonts w:ascii="Bookman Old Style" w:hAnsi="Bookman Old Style"/>
          <w:snapToGrid/>
          <w:szCs w:val="24"/>
        </w:rPr>
        <w:t>her coworkers</w:t>
      </w:r>
      <w:r w:rsidR="00892B85">
        <w:rPr>
          <w:rFonts w:ascii="Bookman Old Style" w:hAnsi="Bookman Old Style"/>
          <w:snapToGrid/>
          <w:szCs w:val="24"/>
        </w:rPr>
        <w:t xml:space="preserve"> would </w:t>
      </w:r>
      <w:r w:rsidR="00233FAA">
        <w:rPr>
          <w:rFonts w:ascii="Bookman Old Style" w:hAnsi="Bookman Old Style"/>
          <w:snapToGrid/>
          <w:szCs w:val="24"/>
        </w:rPr>
        <w:t>have been</w:t>
      </w:r>
      <w:r w:rsidR="00892B85">
        <w:rPr>
          <w:rFonts w:ascii="Bookman Old Style" w:hAnsi="Bookman Old Style"/>
          <w:snapToGrid/>
          <w:szCs w:val="24"/>
        </w:rPr>
        <w:t xml:space="preserve"> talking about her clients was if her caseload was being divided</w:t>
      </w:r>
      <w:r>
        <w:rPr>
          <w:rFonts w:ascii="Bookman Old Style" w:hAnsi="Bookman Old Style"/>
          <w:snapToGrid/>
          <w:szCs w:val="24"/>
        </w:rPr>
        <w:t xml:space="preserve"> because she was going to be fired</w:t>
      </w:r>
      <w:r w:rsidR="00892B85">
        <w:rPr>
          <w:rFonts w:ascii="Bookman Old Style" w:hAnsi="Bookman Old Style"/>
          <w:snapToGrid/>
          <w:szCs w:val="24"/>
        </w:rPr>
        <w:t xml:space="preserve">.  The claimant decided she should resign so that her experience </w:t>
      </w:r>
      <w:r>
        <w:rPr>
          <w:rFonts w:ascii="Bookman Old Style" w:hAnsi="Bookman Old Style"/>
          <w:snapToGrid/>
          <w:szCs w:val="24"/>
        </w:rPr>
        <w:t>with the employer could be used to get an</w:t>
      </w:r>
      <w:r w:rsidR="00233FAA">
        <w:rPr>
          <w:rFonts w:ascii="Bookman Old Style" w:hAnsi="Bookman Old Style"/>
          <w:snapToGrid/>
          <w:szCs w:val="24"/>
        </w:rPr>
        <w:t>o</w:t>
      </w:r>
      <w:r>
        <w:rPr>
          <w:rFonts w:ascii="Bookman Old Style" w:hAnsi="Bookman Old Style"/>
          <w:snapToGrid/>
          <w:szCs w:val="24"/>
        </w:rPr>
        <w:t xml:space="preserve">ther job in that field. The claimant gave the employer two-weeks notice that her last day would be      October 7, 2022 and s he worked through that day. </w:t>
      </w:r>
    </w:p>
    <w:p w14:paraId="1DE0ECCD" w14:textId="77777777" w:rsidR="005A281D" w:rsidRPr="00D82DF6" w:rsidRDefault="005A281D" w:rsidP="00D82DF6">
      <w:pPr>
        <w:pStyle w:val="Heading4"/>
        <w:jc w:val="center"/>
        <w:rPr>
          <w:rFonts w:ascii="Bookman Old Style" w:hAnsi="Bookman Old Style"/>
          <w:szCs w:val="24"/>
        </w:rPr>
      </w:pPr>
      <w:r w:rsidRPr="00D82DF6">
        <w:rPr>
          <w:rFonts w:ascii="Bookman Old Style" w:hAnsi="Bookman Old Style"/>
          <w:szCs w:val="24"/>
        </w:rPr>
        <w:t>PROVISIONS OF LAW</w:t>
      </w:r>
    </w:p>
    <w:p w14:paraId="58E92F97" w14:textId="77777777" w:rsidR="005A281D" w:rsidRPr="00D82DF6" w:rsidRDefault="005A281D" w:rsidP="00D82DF6">
      <w:pPr>
        <w:tabs>
          <w:tab w:val="left" w:pos="-1440"/>
          <w:tab w:val="left" w:pos="-720"/>
        </w:tabs>
        <w:rPr>
          <w:rFonts w:ascii="Bookman Old Style" w:hAnsi="Bookman Old Style"/>
          <w:szCs w:val="24"/>
        </w:rPr>
      </w:pPr>
    </w:p>
    <w:p w14:paraId="04D399C3"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14:paraId="44BE8284" w14:textId="77777777" w:rsidR="003E7E91" w:rsidRPr="00D82DF6" w:rsidRDefault="003E7E91" w:rsidP="00D82DF6">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14:paraId="5BA1D007" w14:textId="77777777" w:rsidR="003E7E91" w:rsidRPr="00D82DF6" w:rsidRDefault="003E7E91" w:rsidP="0012799D">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69B680B8" w14:textId="77777777" w:rsidR="003E7E91" w:rsidRPr="00D82DF6" w:rsidRDefault="003E7E91" w:rsidP="00D82DF6">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D82DF6">
        <w:rPr>
          <w:rFonts w:ascii="Bookman Old Style" w:hAnsi="Bookman Old Style"/>
          <w:szCs w:val="24"/>
        </w:rPr>
        <w:t>left the insured worker's last suitable work voluntarily without  good cause....</w:t>
      </w:r>
    </w:p>
    <w:p w14:paraId="19750D6E" w14:textId="77777777" w:rsidR="003E7E91" w:rsidRPr="00D82DF6" w:rsidRDefault="003E7E91" w:rsidP="00D82DF6">
      <w:pPr>
        <w:tabs>
          <w:tab w:val="left" w:pos="-1440"/>
          <w:tab w:val="left" w:pos="-720"/>
        </w:tabs>
        <w:rPr>
          <w:rFonts w:ascii="Bookman Old Style" w:hAnsi="Bookman Old Style"/>
          <w:szCs w:val="24"/>
        </w:rPr>
      </w:pPr>
    </w:p>
    <w:p w14:paraId="3A90EEBB"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14:paraId="6523577E"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p>
    <w:p w14:paraId="17E07BA1" w14:textId="77777777" w:rsidR="003A5235"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 xml:space="preserve">To determine the existence of good cause under AS 23.20.379(a)(1) for voluntarily leaving work determined to be suitable under </w:t>
      </w:r>
    </w:p>
    <w:p w14:paraId="19F396D3" w14:textId="77777777" w:rsidR="003E7E91" w:rsidRPr="00D82DF6" w:rsidRDefault="003E7E91" w:rsidP="0012799D">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14:paraId="30EDCD22"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(1) </w:t>
      </w:r>
      <w:r w:rsidRPr="00D82DF6">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14:paraId="2DE358D6"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t>leaving work to care for an immediate family member who has a disability or illness;</w:t>
      </w:r>
    </w:p>
    <w:p w14:paraId="05D3C829"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14:paraId="28B28C23"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t>leaving work to accompany or join a spouse at a change of location, if commuting from the new location to the claimant’s work is impractical; for purposes of this paragraph, the change of location must be as a result of the spouse’s</w:t>
      </w:r>
    </w:p>
    <w:p w14:paraId="64B6D9E1" w14:textId="77777777"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(A) discharge from military service; or</w:t>
      </w:r>
    </w:p>
    <w:p w14:paraId="55D16B4C" w14:textId="77777777"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(B) employment;</w:t>
      </w:r>
    </w:p>
    <w:p w14:paraId="5E0E254A" w14:textId="77777777"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 xml:space="preserve">(5) </w:t>
      </w:r>
      <w:r w:rsidRPr="00D82DF6">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14:paraId="5FB96A30" w14:textId="77777777" w:rsidR="003E7E91" w:rsidRPr="00D82DF6" w:rsidRDefault="00D82DF6" w:rsidP="003311C5">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lastRenderedPageBreak/>
        <w:t>(6)</w:t>
      </w:r>
      <w:r>
        <w:rPr>
          <w:rFonts w:ascii="Bookman Old Style" w:hAnsi="Bookman Old Style"/>
          <w:snapToGrid/>
          <w:szCs w:val="24"/>
        </w:rPr>
        <w:tab/>
      </w:r>
      <w:r w:rsidR="003E7E91" w:rsidRPr="00D82DF6">
        <w:rPr>
          <w:rFonts w:ascii="Bookman Old Style" w:hAnsi="Bookman Old Style"/>
          <w:snapToGrid/>
          <w:szCs w:val="24"/>
        </w:rPr>
        <w:t>leaving work in order to protect the claimant or the               claimant’s immediate family members from harassment or    violence;</w:t>
      </w:r>
    </w:p>
    <w:p w14:paraId="672B9943" w14:textId="77777777"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bonafide offer of </w:t>
      </w:r>
      <w:r w:rsidR="003311C5">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sidR="003311C5">
        <w:rPr>
          <w:rFonts w:ascii="Bookman Old Style" w:hAnsi="Bookman Old Style"/>
          <w:snapToGrid/>
          <w:szCs w:val="24"/>
        </w:rPr>
        <w:t xml:space="preserve">r other working conditions; if </w:t>
      </w:r>
      <w:r w:rsidRPr="00D82DF6">
        <w:rPr>
          <w:rFonts w:ascii="Bookman Old Style" w:hAnsi="Bookman Old Style"/>
          <w:snapToGrid/>
          <w:szCs w:val="24"/>
        </w:rPr>
        <w:t xml:space="preserve">the new work does not materialize, the reasons for the work  not materializing must not be due to the fault of the worker; </w:t>
      </w:r>
    </w:p>
    <w:p w14:paraId="0EA399C7"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t>other factors listed in AS 23.20.385(b).</w:t>
      </w:r>
    </w:p>
    <w:p w14:paraId="354F1321" w14:textId="77777777" w:rsidR="003E7E91" w:rsidRPr="00D82DF6" w:rsidRDefault="003E7E91" w:rsidP="00D82DF6">
      <w:pPr>
        <w:widowControl/>
        <w:autoSpaceDE w:val="0"/>
        <w:autoSpaceDN w:val="0"/>
        <w:adjustRightInd w:val="0"/>
        <w:rPr>
          <w:rFonts w:ascii="Bookman Old Style" w:hAnsi="Bookman Old Style"/>
          <w:b/>
          <w:snapToGrid/>
          <w:szCs w:val="24"/>
        </w:rPr>
      </w:pPr>
    </w:p>
    <w:p w14:paraId="359D966E" w14:textId="77777777" w:rsidR="003E7E91" w:rsidRPr="00D82DF6" w:rsidRDefault="003E7E91" w:rsidP="00D82DF6">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t>AS 23.20.385(b) provides, in part:</w:t>
      </w:r>
    </w:p>
    <w:p w14:paraId="79A0D1B3" w14:textId="77777777" w:rsidR="003E7E91" w:rsidRPr="00D82DF6" w:rsidRDefault="003E7E91" w:rsidP="00D82DF6">
      <w:pPr>
        <w:widowControl/>
        <w:autoSpaceDE w:val="0"/>
        <w:autoSpaceDN w:val="0"/>
        <w:adjustRightInd w:val="0"/>
        <w:rPr>
          <w:rFonts w:ascii="Bookman Old Style" w:hAnsi="Bookman Old Style"/>
          <w:snapToGrid/>
          <w:szCs w:val="24"/>
        </w:rPr>
      </w:pPr>
    </w:p>
    <w:p w14:paraId="2999B4C4" w14:textId="77777777" w:rsidR="003E7E91"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08B89D0C"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other factors that influence a reasonably prudent person in the claimant's circumstances.</w:t>
      </w:r>
    </w:p>
    <w:p w14:paraId="2D6D80AB" w14:textId="77777777" w:rsidR="0080245E" w:rsidRPr="00D82DF6" w:rsidRDefault="0080245E" w:rsidP="00D82DF6">
      <w:pPr>
        <w:rPr>
          <w:rFonts w:ascii="Bookman Old Style" w:hAnsi="Bookman Old Style"/>
          <w:szCs w:val="24"/>
        </w:rPr>
      </w:pPr>
    </w:p>
    <w:p w14:paraId="5CEDF982" w14:textId="62DB7D21" w:rsidR="00441439" w:rsidRDefault="00441439" w:rsidP="00D82DF6">
      <w:pPr>
        <w:pStyle w:val="Heading4"/>
        <w:jc w:val="center"/>
        <w:rPr>
          <w:rFonts w:ascii="Bookman Old Style" w:hAnsi="Bookman Old Style"/>
          <w:szCs w:val="24"/>
        </w:rPr>
      </w:pPr>
      <w:r w:rsidRPr="00D82DF6">
        <w:rPr>
          <w:rFonts w:ascii="Bookman Old Style" w:hAnsi="Bookman Old Style"/>
          <w:szCs w:val="24"/>
        </w:rPr>
        <w:t>CONCLUSION</w:t>
      </w:r>
    </w:p>
    <w:p w14:paraId="195C35A7" w14:textId="77777777" w:rsidR="00595AF5" w:rsidRPr="00595AF5" w:rsidRDefault="00595AF5" w:rsidP="00595AF5"/>
    <w:p w14:paraId="3089E4D1" w14:textId="531E5572" w:rsidR="00441439" w:rsidRDefault="00595AF5" w:rsidP="00D82DF6">
      <w:pPr>
        <w:rPr>
          <w:rFonts w:ascii="Bookman Old Style" w:hAnsi="Bookman Old Style"/>
          <w:szCs w:val="24"/>
        </w:rPr>
      </w:pPr>
      <w:r>
        <w:rPr>
          <w:rFonts w:ascii="Bookman Old Style" w:hAnsi="Bookman Old Style"/>
          <w:szCs w:val="24"/>
        </w:rPr>
        <w:t>The claimant in this case voluntarily quit because she believed she was going to be discharged and she believed it would be better to quit so that she could use her experience with the employer to find another job in the same field.</w:t>
      </w:r>
    </w:p>
    <w:p w14:paraId="4DC0CB62" w14:textId="77777777" w:rsidR="00A7017F" w:rsidRDefault="00A7017F" w:rsidP="00D82DF6">
      <w:pPr>
        <w:rPr>
          <w:rFonts w:ascii="Bookman Old Style" w:hAnsi="Bookman Old Style"/>
          <w:szCs w:val="24"/>
        </w:rPr>
      </w:pPr>
    </w:p>
    <w:p w14:paraId="54DA34FB" w14:textId="23ADFE13" w:rsidR="00595AF5" w:rsidRPr="001E7D26" w:rsidRDefault="00595AF5" w:rsidP="00595AF5">
      <w:pPr>
        <w:widowControl/>
        <w:suppressAutoHyphens/>
        <w:rPr>
          <w:rFonts w:ascii="Bookman Old Style" w:hAnsi="Bookman Old Style" w:cs="Arial"/>
          <w:szCs w:val="24"/>
        </w:rPr>
      </w:pPr>
      <w:r>
        <w:rPr>
          <w:rFonts w:ascii="Bookman Old Style" w:hAnsi="Bookman Old Style"/>
        </w:rPr>
        <w:t xml:space="preserve">The Commissioner of </w:t>
      </w:r>
      <w:r w:rsidR="00A7017F">
        <w:rPr>
          <w:rFonts w:ascii="Bookman Old Style" w:hAnsi="Bookman Old Style"/>
        </w:rPr>
        <w:t>the department of Labor and workforce Development</w:t>
      </w:r>
      <w:r>
        <w:rPr>
          <w:rFonts w:ascii="Bookman Old Style" w:hAnsi="Bookman Old Style"/>
        </w:rPr>
        <w:t xml:space="preserve"> held in</w:t>
      </w:r>
      <w:r w:rsidRPr="001E7D26">
        <w:rPr>
          <w:rFonts w:ascii="Bookman Old Style" w:hAnsi="Bookman Old Style" w:cs="Arial"/>
          <w:szCs w:val="24"/>
        </w:rPr>
        <w:t xml:space="preserve"> </w:t>
      </w:r>
      <w:r w:rsidRPr="001E7D26">
        <w:rPr>
          <w:rFonts w:ascii="Bookman Old Style" w:hAnsi="Bookman Old Style" w:cs="Arial"/>
          <w:szCs w:val="24"/>
          <w:u w:val="single"/>
        </w:rPr>
        <w:t>Spence</w:t>
      </w:r>
      <w:r w:rsidRPr="001E7D26">
        <w:rPr>
          <w:rFonts w:ascii="Bookman Old Style" w:hAnsi="Bookman Old Style" w:cs="Arial"/>
          <w:szCs w:val="24"/>
        </w:rPr>
        <w:t>,</w:t>
      </w:r>
      <w:r w:rsidR="00A7017F">
        <w:rPr>
          <w:rFonts w:ascii="Bookman Old Style" w:hAnsi="Bookman Old Style" w:cs="Arial"/>
          <w:szCs w:val="24"/>
        </w:rPr>
        <w:t xml:space="preserve"> Com. Dec.</w:t>
      </w:r>
      <w:r w:rsidRPr="001E7D26">
        <w:rPr>
          <w:rFonts w:ascii="Bookman Old Style" w:hAnsi="Bookman Old Style" w:cs="Arial"/>
          <w:szCs w:val="24"/>
        </w:rPr>
        <w:t xml:space="preserve"> </w:t>
      </w:r>
      <w:r>
        <w:rPr>
          <w:rFonts w:ascii="Bookman Old Style" w:hAnsi="Bookman Old Style" w:cs="Arial"/>
          <w:szCs w:val="24"/>
        </w:rPr>
        <w:t>9324931, February 9, 1994:</w:t>
      </w:r>
    </w:p>
    <w:p w14:paraId="522F71E0" w14:textId="77777777" w:rsidR="00595AF5" w:rsidRDefault="00595AF5" w:rsidP="00595AF5">
      <w:pPr>
        <w:rPr>
          <w:rFonts w:ascii="Bookman Old Style" w:hAnsi="Bookman Old Style"/>
        </w:rPr>
      </w:pPr>
    </w:p>
    <w:p w14:paraId="01307F69" w14:textId="3D5A015E" w:rsidR="00595AF5" w:rsidRPr="00305FFB" w:rsidRDefault="00595AF5" w:rsidP="00595AF5">
      <w:pPr>
        <w:widowControl/>
        <w:suppressAutoHyphens/>
        <w:ind w:left="720"/>
        <w:rPr>
          <w:rFonts w:ascii="Bookman Old Style" w:hAnsi="Bookman Old Style" w:cs="Arial"/>
          <w:i/>
          <w:szCs w:val="24"/>
        </w:rPr>
      </w:pPr>
      <w:r w:rsidRPr="00305FFB">
        <w:rPr>
          <w:rFonts w:ascii="Bookman Old Style" w:hAnsi="Bookman Old Style"/>
          <w:bCs/>
          <w:i/>
          <w:spacing w:val="-3"/>
          <w:szCs w:val="24"/>
        </w:rPr>
        <w:t>Leaving in anticipation of a discharge is a voluntary leaving, not a discharge.</w:t>
      </w:r>
      <w:r w:rsidRPr="00305FFB">
        <w:rPr>
          <w:rFonts w:ascii="Bookman Old Style" w:hAnsi="Bookman Old Style"/>
          <w:i/>
          <w:spacing w:val="-3"/>
          <w:szCs w:val="24"/>
        </w:rPr>
        <w:t xml:space="preserve"> This is true no matter how well founded the worker's belief was that the employer would discharge the worker if the worker did not leave. </w:t>
      </w:r>
      <w:r w:rsidRPr="00305FFB">
        <w:rPr>
          <w:rFonts w:ascii="Bookman Old Style" w:hAnsi="Bookman Old Style"/>
          <w:i/>
          <w:spacing w:val="-3"/>
          <w:szCs w:val="24"/>
          <w:u w:val="single"/>
        </w:rPr>
        <w:t>West</w:t>
      </w:r>
      <w:r w:rsidRPr="00305FFB">
        <w:rPr>
          <w:rFonts w:ascii="Bookman Old Style" w:hAnsi="Bookman Old Style"/>
          <w:i/>
          <w:spacing w:val="-3"/>
          <w:szCs w:val="24"/>
        </w:rPr>
        <w:t>, Com</w:t>
      </w:r>
      <w:r w:rsidR="00233FAA">
        <w:rPr>
          <w:rFonts w:ascii="Bookman Old Style" w:hAnsi="Bookman Old Style"/>
          <w:i/>
          <w:spacing w:val="-3"/>
          <w:szCs w:val="24"/>
        </w:rPr>
        <w:t xml:space="preserve">. </w:t>
      </w:r>
      <w:r w:rsidRPr="00305FFB">
        <w:rPr>
          <w:rFonts w:ascii="Bookman Old Style" w:hAnsi="Bookman Old Style"/>
          <w:i/>
          <w:spacing w:val="-3"/>
          <w:szCs w:val="24"/>
        </w:rPr>
        <w:t xml:space="preserve">Dec 9321473, June 15, 1993; </w:t>
      </w:r>
      <w:r w:rsidRPr="00305FFB">
        <w:rPr>
          <w:rFonts w:ascii="Bookman Old Style" w:hAnsi="Bookman Old Style" w:cs="Arial"/>
          <w:i/>
          <w:szCs w:val="24"/>
        </w:rPr>
        <w:t>[W]e hold that quitting a job in anticipation of discharge is without good cause</w:t>
      </w:r>
    </w:p>
    <w:p w14:paraId="3C949B3D" w14:textId="77777777" w:rsidR="00595AF5" w:rsidRDefault="00595AF5" w:rsidP="00595AF5"/>
    <w:p w14:paraId="60FFE6D6" w14:textId="4051CBC8" w:rsidR="00A7017F" w:rsidRPr="00531D0D" w:rsidRDefault="00A7017F" w:rsidP="00A7017F">
      <w:pPr>
        <w:tabs>
          <w:tab w:val="left" w:pos="-1440"/>
          <w:tab w:val="left" w:pos="-720"/>
        </w:tabs>
        <w:suppressAutoHyphens/>
        <w:rPr>
          <w:rFonts w:ascii="Bookman Old Style" w:hAnsi="Bookman Old Style"/>
        </w:rPr>
      </w:pPr>
      <w:r w:rsidRPr="00531D0D">
        <w:rPr>
          <w:rFonts w:ascii="Bookman Old Style" w:hAnsi="Bookman Old Style"/>
        </w:rPr>
        <w:t xml:space="preserve">In </w:t>
      </w:r>
      <w:r w:rsidRPr="00531D0D">
        <w:rPr>
          <w:rFonts w:ascii="Bookman Old Style" w:hAnsi="Bookman Old Style"/>
          <w:u w:val="single"/>
        </w:rPr>
        <w:t>Shaw</w:t>
      </w:r>
      <w:r w:rsidRPr="00531D0D">
        <w:rPr>
          <w:rFonts w:ascii="Bookman Old Style" w:hAnsi="Bookman Old Style"/>
        </w:rPr>
        <w:t>, Com</w:t>
      </w:r>
      <w:r>
        <w:rPr>
          <w:rFonts w:ascii="Bookman Old Style" w:hAnsi="Bookman Old Style"/>
        </w:rPr>
        <w:t>.</w:t>
      </w:r>
      <w:r w:rsidRPr="00531D0D">
        <w:rPr>
          <w:rFonts w:ascii="Bookman Old Style" w:hAnsi="Bookman Old Style"/>
        </w:rPr>
        <w:t xml:space="preserve"> Dec. 97 0358, June 6, 1997, the Commissioner denied benefits holding:</w:t>
      </w:r>
    </w:p>
    <w:p w14:paraId="54478096" w14:textId="77777777" w:rsidR="00A7017F" w:rsidRPr="00531D0D" w:rsidRDefault="00A7017F" w:rsidP="00A7017F">
      <w:pPr>
        <w:tabs>
          <w:tab w:val="left" w:pos="-1440"/>
          <w:tab w:val="left" w:pos="-720"/>
        </w:tabs>
        <w:suppressAutoHyphens/>
        <w:rPr>
          <w:rFonts w:ascii="Bookman Old Style" w:hAnsi="Bookman Old Style"/>
        </w:rPr>
      </w:pPr>
    </w:p>
    <w:p w14:paraId="561CDEBF" w14:textId="77777777" w:rsidR="00A7017F" w:rsidRPr="00233FAA" w:rsidRDefault="00A7017F" w:rsidP="00A7017F">
      <w:pPr>
        <w:tabs>
          <w:tab w:val="left" w:pos="-1440"/>
          <w:tab w:val="left" w:pos="-720"/>
          <w:tab w:val="left" w:pos="0"/>
        </w:tabs>
        <w:suppressAutoHyphens/>
        <w:ind w:left="720" w:hanging="720"/>
        <w:rPr>
          <w:rFonts w:ascii="Bookman Old Style" w:hAnsi="Bookman Old Style"/>
          <w:i/>
          <w:iCs/>
        </w:rPr>
      </w:pPr>
      <w:r w:rsidRPr="00531D0D">
        <w:rPr>
          <w:rFonts w:ascii="Bookman Old Style" w:hAnsi="Bookman Old Style"/>
        </w:rPr>
        <w:tab/>
      </w:r>
      <w:r w:rsidRPr="00233FAA">
        <w:rPr>
          <w:rFonts w:ascii="Bookman Old Style" w:hAnsi="Bookman Old Style"/>
          <w:i/>
          <w:iCs/>
        </w:rPr>
        <w:t xml:space="preserve">Good cause for leaving work depends on whether a reasonable and prudent person would be justified in quitting the job under similar circumstances. </w:t>
      </w:r>
      <w:r w:rsidRPr="00233FAA">
        <w:rPr>
          <w:rFonts w:ascii="Bookman Old Style" w:hAnsi="Bookman Old Style"/>
          <w:i/>
          <w:iCs/>
          <w:u w:val="single"/>
        </w:rPr>
        <w:t>Koach v. Employment Division</w:t>
      </w:r>
      <w:r w:rsidRPr="00233FAA">
        <w:rPr>
          <w:rFonts w:ascii="Bookman Old Style" w:hAnsi="Bookman Old Style"/>
          <w:i/>
          <w:iCs/>
        </w:rPr>
        <w:t xml:space="preserve">, 549 P.2d 1301 (Or., 1976). The cause must be one which would reasonably impel the average </w:t>
      </w:r>
      <w:r w:rsidRPr="00233FAA">
        <w:rPr>
          <w:rFonts w:ascii="Bookman Old Style" w:hAnsi="Bookman Old Style"/>
          <w:i/>
          <w:iCs/>
        </w:rPr>
        <w:lastRenderedPageBreak/>
        <w:t>able</w:t>
      </w:r>
      <w:r w:rsidRPr="00233FAA">
        <w:rPr>
          <w:rFonts w:ascii="Bookman Old Style" w:hAnsi="Bookman Old Style"/>
          <w:i/>
          <w:iCs/>
        </w:rPr>
        <w:noBreakHyphen/>
        <w:t xml:space="preserve">bodied worker to give up his or her employment; mere dissatisfaction with the circumstances which are not shown to be abnormal or do not affect health does not constitute good cause for leaving work voluntarily. </w:t>
      </w:r>
      <w:r w:rsidRPr="00233FAA">
        <w:rPr>
          <w:rFonts w:ascii="Bookman Old Style" w:hAnsi="Bookman Old Style"/>
          <w:i/>
          <w:iCs/>
          <w:u w:val="single"/>
        </w:rPr>
        <w:t>Mueller v. Harry Lee Motors</w:t>
      </w:r>
      <w:r w:rsidRPr="00233FAA">
        <w:rPr>
          <w:rFonts w:ascii="Bookman Old Style" w:hAnsi="Bookman Old Style"/>
          <w:i/>
          <w:iCs/>
        </w:rPr>
        <w:t xml:space="preserve">, 334 So.2d 67 (Fla., 1976); </w:t>
      </w:r>
      <w:r w:rsidRPr="00233FAA">
        <w:rPr>
          <w:rFonts w:ascii="Bookman Old Style" w:hAnsi="Bookman Old Style"/>
          <w:i/>
          <w:iCs/>
          <w:u w:val="single"/>
        </w:rPr>
        <w:t>Associated Utility Services, Inc. v. Board of Review, Dept. of Labor and Industry,</w:t>
      </w:r>
      <w:r w:rsidRPr="00233FAA">
        <w:rPr>
          <w:rFonts w:ascii="Bookman Old Style" w:hAnsi="Bookman Old Style"/>
          <w:i/>
          <w:iCs/>
        </w:rPr>
        <w:t xml:space="preserve"> 331 A.2d 39 (N.J., 1974), cited in </w:t>
      </w:r>
      <w:r w:rsidRPr="00233FAA">
        <w:rPr>
          <w:rFonts w:ascii="Bookman Old Style" w:hAnsi="Bookman Old Style"/>
          <w:i/>
          <w:iCs/>
          <w:u w:val="single"/>
        </w:rPr>
        <w:t>Roderick v. ESD</w:t>
      </w:r>
      <w:r w:rsidRPr="00233FAA">
        <w:rPr>
          <w:rFonts w:ascii="Bookman Old Style" w:hAnsi="Bookman Old Style"/>
          <w:i/>
          <w:iCs/>
        </w:rPr>
        <w:t>, Alaska Super. Ct., 1st J.D., No. 77</w:t>
      </w:r>
      <w:r w:rsidRPr="00233FAA">
        <w:rPr>
          <w:rFonts w:ascii="Bookman Old Style" w:hAnsi="Bookman Old Style"/>
          <w:i/>
          <w:iCs/>
        </w:rPr>
        <w:noBreakHyphen/>
        <w:t>782, April 4, 1978, affirmed without comment Alaska Supreme Ct., No. 4094, March 30, 1979.</w:t>
      </w:r>
    </w:p>
    <w:p w14:paraId="1D186519" w14:textId="4BEB3564" w:rsidR="00595AF5" w:rsidRDefault="00595AF5" w:rsidP="00D82DF6">
      <w:pPr>
        <w:rPr>
          <w:rFonts w:ascii="Bookman Old Style" w:hAnsi="Bookman Old Style"/>
          <w:szCs w:val="24"/>
        </w:rPr>
      </w:pPr>
    </w:p>
    <w:p w14:paraId="196C17D8" w14:textId="4708A057" w:rsidR="00595AF5" w:rsidRDefault="00A7017F" w:rsidP="00D82DF6">
      <w:pPr>
        <w:rPr>
          <w:rFonts w:ascii="Bookman Old Style" w:hAnsi="Bookman Old Style"/>
          <w:szCs w:val="24"/>
        </w:rPr>
      </w:pPr>
      <w:r>
        <w:rPr>
          <w:rFonts w:ascii="Bookman Old Style" w:hAnsi="Bookman Old Style"/>
          <w:szCs w:val="24"/>
        </w:rPr>
        <w:t>The claimant did not establish that her work circumstances were abnormal. It was not unreasonable of the employer to counsel the claimant for being tardy</w:t>
      </w:r>
      <w:r w:rsidR="00233FAA">
        <w:rPr>
          <w:rFonts w:ascii="Bookman Old Style" w:hAnsi="Bookman Old Style"/>
          <w:szCs w:val="24"/>
        </w:rPr>
        <w:t xml:space="preserve">, for </w:t>
      </w:r>
      <w:r>
        <w:rPr>
          <w:rFonts w:ascii="Bookman Old Style" w:hAnsi="Bookman Old Style"/>
          <w:szCs w:val="24"/>
        </w:rPr>
        <w:t xml:space="preserve">failing to keep the employer advised of her schedule, or for failing to keep reports up to date. The claimant’s dissatisfaction with her coworker’s </w:t>
      </w:r>
      <w:r w:rsidR="00233FAA">
        <w:rPr>
          <w:rFonts w:ascii="Bookman Old Style" w:hAnsi="Bookman Old Style"/>
          <w:szCs w:val="24"/>
        </w:rPr>
        <w:t>lack of team work</w:t>
      </w:r>
      <w:r>
        <w:rPr>
          <w:rFonts w:ascii="Bookman Old Style" w:hAnsi="Bookman Old Style"/>
          <w:szCs w:val="24"/>
        </w:rPr>
        <w:t xml:space="preserve"> and her belief that she was going to be fired do not create good cause for quitting work.  </w:t>
      </w:r>
      <w:r w:rsidR="00233FAA">
        <w:rPr>
          <w:rFonts w:ascii="Bookman Old Style" w:hAnsi="Bookman Old Style"/>
          <w:szCs w:val="24"/>
        </w:rPr>
        <w:t>The claimant has not established that she had a compelling reason to leave work at the time she did.</w:t>
      </w:r>
    </w:p>
    <w:p w14:paraId="55250E42" w14:textId="09A0EF9E" w:rsidR="00A7017F" w:rsidRDefault="00A7017F" w:rsidP="00D82DF6">
      <w:pPr>
        <w:rPr>
          <w:rFonts w:ascii="Bookman Old Style" w:hAnsi="Bookman Old Style"/>
          <w:szCs w:val="24"/>
        </w:rPr>
      </w:pPr>
    </w:p>
    <w:p w14:paraId="7E153A9D" w14:textId="7E21FAB8" w:rsidR="00A7017F" w:rsidRDefault="00A7017F" w:rsidP="00D82DF6">
      <w:pPr>
        <w:rPr>
          <w:rFonts w:ascii="Bookman Old Style" w:hAnsi="Bookman Old Style"/>
          <w:szCs w:val="24"/>
        </w:rPr>
      </w:pPr>
      <w:r>
        <w:rPr>
          <w:rFonts w:ascii="Bookman Old Style" w:hAnsi="Bookman Old Style"/>
          <w:szCs w:val="24"/>
        </w:rPr>
        <w:t xml:space="preserve">The Tribunal concludes the claimant voluntarily left suitable work without good cause.  The penalties of AS 23.20.,379 are appropriate. </w:t>
      </w:r>
    </w:p>
    <w:p w14:paraId="789C68CA" w14:textId="77777777" w:rsidR="00A7017F" w:rsidRPr="00D82DF6" w:rsidRDefault="00A7017F" w:rsidP="00D82DF6">
      <w:pPr>
        <w:rPr>
          <w:rFonts w:ascii="Bookman Old Style" w:hAnsi="Bookman Old Style"/>
          <w:szCs w:val="24"/>
        </w:rPr>
      </w:pPr>
    </w:p>
    <w:p w14:paraId="602A4E51"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DECISION</w:t>
      </w:r>
    </w:p>
    <w:p w14:paraId="083A8B0D" w14:textId="23A4F925" w:rsidR="00D82DF6" w:rsidRPr="00D82DF6" w:rsidRDefault="00F837E2" w:rsidP="00D82DF6">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  </w:t>
      </w:r>
    </w:p>
    <w:p w14:paraId="48F52559" w14:textId="00BC83F4" w:rsidR="00D82DF6" w:rsidRPr="00D82DF6" w:rsidRDefault="00D82DF6" w:rsidP="00D82DF6">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sidR="00F837E2">
        <w:rPr>
          <w:rFonts w:ascii="Bookman Old Style" w:hAnsi="Bookman Old Style"/>
          <w:szCs w:val="24"/>
        </w:rPr>
        <w:t>October 31, 2022</w:t>
      </w:r>
      <w:r w:rsidRPr="00D82DF6">
        <w:rPr>
          <w:rFonts w:ascii="Bookman Old Style" w:hAnsi="Bookman Old Style"/>
          <w:szCs w:val="24"/>
        </w:rPr>
        <w:t xml:space="preserve"> is </w:t>
      </w:r>
      <w:r w:rsidR="00F837E2">
        <w:rPr>
          <w:rFonts w:ascii="Bookman Old Style" w:hAnsi="Bookman Old Style"/>
          <w:b/>
          <w:szCs w:val="24"/>
        </w:rPr>
        <w:t>AFFIRMED</w:t>
      </w:r>
      <w:r w:rsidRPr="00D82DF6">
        <w:rPr>
          <w:rFonts w:ascii="Bookman Old Style" w:hAnsi="Bookman Old Style"/>
          <w:b/>
          <w:szCs w:val="24"/>
        </w:rPr>
        <w:t xml:space="preserve">. </w:t>
      </w:r>
      <w:r w:rsidRPr="00D82DF6">
        <w:rPr>
          <w:rFonts w:ascii="Bookman Old Style" w:hAnsi="Bookman Old Style"/>
          <w:szCs w:val="24"/>
        </w:rPr>
        <w:t xml:space="preserve">Benefits </w:t>
      </w:r>
      <w:r w:rsidR="00F837E2">
        <w:rPr>
          <w:rFonts w:ascii="Bookman Old Style" w:hAnsi="Bookman Old Style"/>
          <w:szCs w:val="24"/>
        </w:rPr>
        <w:t>remain</w:t>
      </w:r>
      <w:r w:rsidRPr="00D82DF6">
        <w:rPr>
          <w:rFonts w:ascii="Bookman Old Style" w:hAnsi="Bookman Old Style"/>
          <w:szCs w:val="24"/>
        </w:rPr>
        <w:t xml:space="preserve"> </w:t>
      </w:r>
      <w:r w:rsidRPr="00643AF0">
        <w:rPr>
          <w:rFonts w:ascii="Bookman Old Style" w:hAnsi="Bookman Old Style"/>
          <w:b/>
          <w:szCs w:val="24"/>
        </w:rPr>
        <w:t>DENIED</w:t>
      </w:r>
      <w:r w:rsidRPr="00D82DF6">
        <w:rPr>
          <w:rFonts w:ascii="Bookman Old Style" w:hAnsi="Bookman Old Style"/>
          <w:szCs w:val="24"/>
        </w:rPr>
        <w:t xml:space="preserve"> for the weeks ending </w:t>
      </w:r>
      <w:r w:rsidR="00F837E2">
        <w:rPr>
          <w:rFonts w:ascii="Bookman Old Style" w:hAnsi="Bookman Old Style"/>
          <w:szCs w:val="24"/>
        </w:rPr>
        <w:t>October 15, 2022 through November 19, 2022</w:t>
      </w:r>
      <w:r w:rsidRPr="00D82DF6">
        <w:rPr>
          <w:rFonts w:ascii="Bookman Old Style" w:hAnsi="Bookman Old Style"/>
          <w:szCs w:val="24"/>
        </w:rPr>
        <w:t>. The three weeks are reduced from the claimant’s maximum benefits. The claimant may not be eligible for extended benefits under AS 23.20.406-409.</w:t>
      </w:r>
    </w:p>
    <w:p w14:paraId="7FA6A6F0" w14:textId="77777777" w:rsidR="00441439" w:rsidRPr="00D82DF6" w:rsidRDefault="00441439" w:rsidP="00D82DF6">
      <w:pPr>
        <w:tabs>
          <w:tab w:val="left" w:pos="-1440"/>
          <w:tab w:val="left" w:pos="-720"/>
        </w:tabs>
        <w:rPr>
          <w:rFonts w:ascii="Bookman Old Style" w:hAnsi="Bookman Old Style"/>
          <w:szCs w:val="24"/>
        </w:rPr>
      </w:pPr>
    </w:p>
    <w:p w14:paraId="375F3CB3"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APPEAL RIGHTS</w:t>
      </w:r>
    </w:p>
    <w:p w14:paraId="5BA86E13" w14:textId="77777777" w:rsidR="00441439" w:rsidRPr="00D82DF6" w:rsidRDefault="00441439" w:rsidP="00D82DF6">
      <w:pPr>
        <w:tabs>
          <w:tab w:val="left" w:pos="-1440"/>
          <w:tab w:val="left" w:pos="-720"/>
        </w:tabs>
        <w:rPr>
          <w:rFonts w:ascii="Bookman Old Style" w:hAnsi="Bookman Old Style"/>
          <w:szCs w:val="24"/>
        </w:rPr>
      </w:pPr>
    </w:p>
    <w:p w14:paraId="6793C0F1" w14:textId="77777777" w:rsidR="00D82DF6" w:rsidRPr="00D82DF6" w:rsidRDefault="00D82DF6" w:rsidP="00D82DF6">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2A5DC8ED" w14:textId="77777777" w:rsidR="00441439" w:rsidRPr="00D82DF6" w:rsidRDefault="00441439" w:rsidP="00D82DF6">
      <w:pPr>
        <w:tabs>
          <w:tab w:val="left" w:pos="-1440"/>
          <w:tab w:val="left" w:pos="-720"/>
        </w:tabs>
        <w:rPr>
          <w:rFonts w:ascii="Bookman Old Style" w:hAnsi="Bookman Old Style"/>
          <w:szCs w:val="24"/>
        </w:rPr>
      </w:pPr>
    </w:p>
    <w:p w14:paraId="6AF1EABC" w14:textId="0098975F" w:rsidR="00441439" w:rsidRPr="00D82DF6" w:rsidRDefault="00B24371" w:rsidP="00D82DF6">
      <w:pPr>
        <w:tabs>
          <w:tab w:val="left" w:pos="-1440"/>
          <w:tab w:val="left" w:pos="-720"/>
        </w:tabs>
        <w:rPr>
          <w:rFonts w:ascii="Bookman Old Style" w:hAnsi="Bookman Old Style"/>
          <w:szCs w:val="24"/>
        </w:rPr>
      </w:pPr>
      <w:r w:rsidRPr="00D82DF6">
        <w:rPr>
          <w:rFonts w:ascii="Bookman Old Style" w:hAnsi="Bookman Old Style"/>
          <w:szCs w:val="24"/>
        </w:rPr>
        <w:t>Dated and m</w:t>
      </w:r>
      <w:r w:rsidR="00441439" w:rsidRPr="00D82DF6">
        <w:rPr>
          <w:rFonts w:ascii="Bookman Old Style" w:hAnsi="Bookman Old Style"/>
          <w:szCs w:val="24"/>
        </w:rPr>
        <w:t xml:space="preserve">ailed on </w:t>
      </w:r>
      <w:r w:rsidR="00F837E2">
        <w:rPr>
          <w:rFonts w:ascii="Bookman Old Style" w:hAnsi="Bookman Old Style"/>
          <w:szCs w:val="24"/>
        </w:rPr>
        <w:t>December 16, 2022</w:t>
      </w:r>
      <w:r w:rsidR="00441439" w:rsidRPr="00D82DF6">
        <w:rPr>
          <w:rFonts w:ascii="Bookman Old Style" w:hAnsi="Bookman Old Style"/>
          <w:szCs w:val="24"/>
        </w:rPr>
        <w:t>.</w:t>
      </w:r>
    </w:p>
    <w:p w14:paraId="5DC728CE" w14:textId="77777777" w:rsidR="00441439" w:rsidRPr="00D82DF6" w:rsidRDefault="00441439" w:rsidP="00D82DF6">
      <w:pPr>
        <w:tabs>
          <w:tab w:val="left" w:pos="-1440"/>
          <w:tab w:val="left" w:pos="-720"/>
        </w:tabs>
        <w:rPr>
          <w:rFonts w:ascii="Bookman Old Style" w:hAnsi="Bookman Old Style"/>
          <w:szCs w:val="24"/>
        </w:rPr>
      </w:pPr>
    </w:p>
    <w:p w14:paraId="3C754013" w14:textId="77777777" w:rsidR="00441439"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14:paraId="7927FF8D" w14:textId="77777777" w:rsidR="00441439" w:rsidRPr="00D82DF6" w:rsidRDefault="00441439" w:rsidP="00D82DF6">
      <w:pPr>
        <w:tabs>
          <w:tab w:val="left" w:pos="-1440"/>
          <w:tab w:val="left" w:pos="-720"/>
        </w:tabs>
        <w:rPr>
          <w:rFonts w:ascii="Bookman Old Style" w:hAnsi="Bookman Old Style"/>
          <w:szCs w:val="24"/>
        </w:rPr>
      </w:pPr>
    </w:p>
    <w:p w14:paraId="0E83BE95" w14:textId="77777777" w:rsidR="00441439" w:rsidRPr="00D82DF6" w:rsidRDefault="00441439" w:rsidP="00D82DF6">
      <w:pPr>
        <w:tabs>
          <w:tab w:val="left" w:pos="-1440"/>
          <w:tab w:val="left" w:pos="-720"/>
        </w:tabs>
        <w:rPr>
          <w:rFonts w:ascii="Bookman Old Style" w:hAnsi="Bookman Old Style"/>
          <w:szCs w:val="24"/>
        </w:rPr>
      </w:pPr>
    </w:p>
    <w:p w14:paraId="6F33256E" w14:textId="77777777" w:rsidR="00441439" w:rsidRPr="00D82DF6" w:rsidRDefault="00441439" w:rsidP="00D82DF6">
      <w:pPr>
        <w:tabs>
          <w:tab w:val="left" w:pos="-1440"/>
          <w:tab w:val="left" w:pos="-720"/>
        </w:tabs>
        <w:rPr>
          <w:rFonts w:ascii="Bookman Old Style" w:hAnsi="Bookman Old Style"/>
          <w:szCs w:val="24"/>
        </w:rPr>
      </w:pPr>
    </w:p>
    <w:p w14:paraId="182FDBDC" w14:textId="570E9019" w:rsidR="00774034"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F837E2">
        <w:rPr>
          <w:rFonts w:ascii="Bookman Old Style" w:hAnsi="Bookman Old Style"/>
          <w:szCs w:val="24"/>
        </w:rPr>
        <w:t>Rhonda Buness</w:t>
      </w:r>
      <w:r w:rsidRPr="00D82DF6">
        <w:rPr>
          <w:rFonts w:ascii="Bookman Old Style" w:hAnsi="Bookman Old Style"/>
          <w:szCs w:val="24"/>
        </w:rPr>
        <w:t xml:space="preserve">, </w:t>
      </w:r>
      <w:r w:rsidR="00003DC3">
        <w:rPr>
          <w:rFonts w:ascii="Bookman Old Style" w:hAnsi="Bookman Old Style"/>
          <w:szCs w:val="24"/>
        </w:rPr>
        <w:t>Appeals</w:t>
      </w:r>
      <w:r w:rsidRPr="00D82DF6">
        <w:rPr>
          <w:rFonts w:ascii="Bookman Old Style" w:hAnsi="Bookman Old Style"/>
          <w:szCs w:val="24"/>
        </w:rPr>
        <w:t xml:space="preserve"> Officer</w:t>
      </w:r>
    </w:p>
    <w:sectPr w:rsidR="00774034" w:rsidRPr="00D82DF6">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AF7F8" w14:textId="77777777" w:rsidR="00C9274F" w:rsidRDefault="00C9274F">
      <w:pPr>
        <w:widowControl/>
        <w:spacing w:line="20" w:lineRule="exact"/>
      </w:pPr>
    </w:p>
  </w:endnote>
  <w:endnote w:type="continuationSeparator" w:id="0">
    <w:p w14:paraId="397E5DB9" w14:textId="77777777" w:rsidR="00C9274F" w:rsidRDefault="00C9274F">
      <w:r>
        <w:t xml:space="preserve"> </w:t>
      </w:r>
    </w:p>
  </w:endnote>
  <w:endnote w:type="continuationNotice" w:id="1">
    <w:p w14:paraId="4F3938A5" w14:textId="77777777" w:rsidR="00C9274F" w:rsidRDefault="00C9274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A381B" w14:textId="77777777" w:rsidR="00C9274F" w:rsidRDefault="00C9274F">
      <w:r>
        <w:separator/>
      </w:r>
    </w:p>
  </w:footnote>
  <w:footnote w:type="continuationSeparator" w:id="0">
    <w:p w14:paraId="57043D90" w14:textId="77777777" w:rsidR="00C9274F" w:rsidRDefault="00C92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300EC" w14:textId="0482CEFE" w:rsidR="008B1CA2" w:rsidRPr="00B554BF" w:rsidRDefault="00326C97">
    <w:pPr>
      <w:pStyle w:val="Header"/>
      <w:rPr>
        <w:rFonts w:ascii="Bookman Old Style" w:hAnsi="Bookman Old Style"/>
      </w:rPr>
    </w:pPr>
    <w:r>
      <w:rPr>
        <w:rFonts w:ascii="Bookman Old Style" w:hAnsi="Bookman Old Style"/>
      </w:rPr>
      <w:t>Docket #</w:t>
    </w:r>
    <w:r w:rsidR="005F1D92">
      <w:rPr>
        <w:rFonts w:ascii="Bookman Old Style" w:hAnsi="Bookman Old Style"/>
      </w:rPr>
      <w:t xml:space="preserve"> </w:t>
    </w:r>
    <w:r w:rsidR="00CF5484">
      <w:rPr>
        <w:rFonts w:ascii="Bookman Old Style" w:hAnsi="Bookman Old Style"/>
      </w:rPr>
      <w:t>22 0958</w:t>
    </w:r>
  </w:p>
  <w:p w14:paraId="766737CC"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643AF0">
      <w:rPr>
        <w:rStyle w:val="PageNumber"/>
        <w:rFonts w:ascii="Bookman Old Style" w:hAnsi="Bookman Old Style"/>
        <w:noProof/>
      </w:rPr>
      <w:t>3</w:t>
    </w:r>
    <w:r w:rsidRPr="00B554BF">
      <w:rPr>
        <w:rStyle w:val="PageNumber"/>
        <w:rFonts w:ascii="Bookman Old Style" w:hAnsi="Bookman Old Style"/>
      </w:rPr>
      <w:fldChar w:fldCharType="end"/>
    </w:r>
  </w:p>
  <w:p w14:paraId="70D473AF"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74F"/>
    <w:rsid w:val="00003DC3"/>
    <w:rsid w:val="00026FBD"/>
    <w:rsid w:val="00027F9D"/>
    <w:rsid w:val="00086907"/>
    <w:rsid w:val="000B79CE"/>
    <w:rsid w:val="000D3B41"/>
    <w:rsid w:val="000D73C2"/>
    <w:rsid w:val="000F5712"/>
    <w:rsid w:val="0012799D"/>
    <w:rsid w:val="00145E88"/>
    <w:rsid w:val="00193EB9"/>
    <w:rsid w:val="001B73F6"/>
    <w:rsid w:val="00233FAA"/>
    <w:rsid w:val="002529B9"/>
    <w:rsid w:val="002A3C37"/>
    <w:rsid w:val="002C42D3"/>
    <w:rsid w:val="002D5A94"/>
    <w:rsid w:val="002E2E58"/>
    <w:rsid w:val="0031012B"/>
    <w:rsid w:val="003115E0"/>
    <w:rsid w:val="00326C97"/>
    <w:rsid w:val="003311C5"/>
    <w:rsid w:val="00382877"/>
    <w:rsid w:val="003A5235"/>
    <w:rsid w:val="003B709B"/>
    <w:rsid w:val="003C0ED2"/>
    <w:rsid w:val="003E7E91"/>
    <w:rsid w:val="00405A16"/>
    <w:rsid w:val="00441439"/>
    <w:rsid w:val="00456806"/>
    <w:rsid w:val="004758FD"/>
    <w:rsid w:val="004B0A1E"/>
    <w:rsid w:val="00595AF5"/>
    <w:rsid w:val="005A281D"/>
    <w:rsid w:val="005A4355"/>
    <w:rsid w:val="005F1D92"/>
    <w:rsid w:val="00643AF0"/>
    <w:rsid w:val="00661D7B"/>
    <w:rsid w:val="00765551"/>
    <w:rsid w:val="00774034"/>
    <w:rsid w:val="007C0440"/>
    <w:rsid w:val="007C774A"/>
    <w:rsid w:val="0080245E"/>
    <w:rsid w:val="00892B85"/>
    <w:rsid w:val="008B1CA2"/>
    <w:rsid w:val="008B45DB"/>
    <w:rsid w:val="008F3C72"/>
    <w:rsid w:val="00931AA2"/>
    <w:rsid w:val="00932DE9"/>
    <w:rsid w:val="009639E3"/>
    <w:rsid w:val="00A51932"/>
    <w:rsid w:val="00A66D6A"/>
    <w:rsid w:val="00A7017F"/>
    <w:rsid w:val="00AA0015"/>
    <w:rsid w:val="00AD5C90"/>
    <w:rsid w:val="00B23E70"/>
    <w:rsid w:val="00B24371"/>
    <w:rsid w:val="00B554BF"/>
    <w:rsid w:val="00B85F9D"/>
    <w:rsid w:val="00BE4958"/>
    <w:rsid w:val="00C3767D"/>
    <w:rsid w:val="00C47467"/>
    <w:rsid w:val="00C734D5"/>
    <w:rsid w:val="00C81FB9"/>
    <w:rsid w:val="00C9274F"/>
    <w:rsid w:val="00CF5484"/>
    <w:rsid w:val="00D025D4"/>
    <w:rsid w:val="00D829CE"/>
    <w:rsid w:val="00D82DF6"/>
    <w:rsid w:val="00DD54FF"/>
    <w:rsid w:val="00DF1DE2"/>
    <w:rsid w:val="00E20AA8"/>
    <w:rsid w:val="00EB0E9D"/>
    <w:rsid w:val="00EB2462"/>
    <w:rsid w:val="00EC3E1C"/>
    <w:rsid w:val="00F2294D"/>
    <w:rsid w:val="00F837E2"/>
    <w:rsid w:val="00FA6CE0"/>
    <w:rsid w:val="00FD077C"/>
    <w:rsid w:val="00FE2B93"/>
    <w:rsid w:val="00FF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B69DEE9"/>
  <w15:chartTrackingRefBased/>
  <w15:docId w15:val="{9182B8F4-7B0E-418B-80EA-F6911C4CD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alloonText">
    <w:name w:val="Balloon Text"/>
    <w:basedOn w:val="Normal"/>
    <w:link w:val="BalloonTextChar"/>
    <w:uiPriority w:val="99"/>
    <w:semiHidden/>
    <w:unhideWhenUsed/>
    <w:rsid w:val="005F1D92"/>
    <w:rPr>
      <w:rFonts w:ascii="Tahoma" w:hAnsi="Tahoma" w:cs="Tahoma"/>
      <w:sz w:val="16"/>
      <w:szCs w:val="16"/>
    </w:rPr>
  </w:style>
  <w:style w:type="character" w:customStyle="1" w:styleId="BalloonTextChar">
    <w:name w:val="Balloon Text Char"/>
    <w:link w:val="BalloonText"/>
    <w:uiPriority w:val="99"/>
    <w:semiHidden/>
    <w:rsid w:val="005F1D92"/>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0%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0CC6F78-E89E-41F0-9FDA-21920A048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VL</Template>
  <TotalTime>2</TotalTime>
  <Pages>4</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2022-12-15T23:28:00Z</cp:lastPrinted>
  <dcterms:created xsi:type="dcterms:W3CDTF">2022-12-15T23:29:00Z</dcterms:created>
  <dcterms:modified xsi:type="dcterms:W3CDTF">2022-12-15T23:29:00Z</dcterms:modified>
</cp:coreProperties>
</file>