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0633" w14:textId="6DDFED35" w:rsidR="005E68FF" w:rsidRDefault="004B1E78"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B88ACFE" wp14:editId="0D0E04EF">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F86D4" w14:textId="77777777" w:rsidR="005E68FF" w:rsidRDefault="005E68FF" w:rsidP="005E68FF">
      <w:pPr>
        <w:pStyle w:val="Heading3"/>
        <w:widowControl/>
        <w:tabs>
          <w:tab w:val="center" w:pos="4680"/>
        </w:tabs>
        <w:suppressAutoHyphens/>
        <w:rPr>
          <w:rFonts w:ascii="Bookman Old Style" w:hAnsi="Bookman Old Style"/>
        </w:rPr>
      </w:pPr>
    </w:p>
    <w:p w14:paraId="1314449E" w14:textId="77777777" w:rsidR="005E68FF" w:rsidRDefault="005E68FF" w:rsidP="005E68FF">
      <w:pPr>
        <w:pStyle w:val="Heading3"/>
        <w:widowControl/>
        <w:tabs>
          <w:tab w:val="center" w:pos="4680"/>
        </w:tabs>
        <w:suppressAutoHyphens/>
        <w:rPr>
          <w:rFonts w:ascii="Bookman Old Style" w:hAnsi="Bookman Old Style"/>
        </w:rPr>
      </w:pPr>
    </w:p>
    <w:p w14:paraId="0B990D76" w14:textId="77777777" w:rsidR="005E68FF" w:rsidRDefault="005E68FF" w:rsidP="005E68FF">
      <w:pPr>
        <w:pStyle w:val="Heading3"/>
        <w:widowControl/>
        <w:tabs>
          <w:tab w:val="center" w:pos="4680"/>
        </w:tabs>
        <w:suppressAutoHyphens/>
        <w:rPr>
          <w:rFonts w:ascii="Bookman Old Style" w:hAnsi="Bookman Old Style"/>
        </w:rPr>
      </w:pPr>
    </w:p>
    <w:p w14:paraId="09A613DB" w14:textId="77777777" w:rsidR="005E68FF" w:rsidRDefault="005E68FF" w:rsidP="005E68FF">
      <w:pPr>
        <w:pStyle w:val="Heading3"/>
        <w:widowControl/>
        <w:tabs>
          <w:tab w:val="center" w:pos="4680"/>
        </w:tabs>
        <w:suppressAutoHyphens/>
        <w:rPr>
          <w:rFonts w:ascii="Bookman Old Style" w:hAnsi="Bookman Old Style"/>
        </w:rPr>
      </w:pPr>
    </w:p>
    <w:p w14:paraId="43545D93" w14:textId="77777777" w:rsidR="005E68FF" w:rsidRDefault="005E68FF" w:rsidP="005E68FF">
      <w:pPr>
        <w:pStyle w:val="Heading3"/>
        <w:widowControl/>
        <w:tabs>
          <w:tab w:val="center" w:pos="4680"/>
        </w:tabs>
        <w:suppressAutoHyphens/>
        <w:rPr>
          <w:rFonts w:ascii="Bookman Old Style" w:hAnsi="Bookman Old Style"/>
        </w:rPr>
      </w:pPr>
    </w:p>
    <w:p w14:paraId="16969FE7" w14:textId="77777777" w:rsidR="005E68FF" w:rsidRDefault="005E68FF" w:rsidP="005E68FF">
      <w:pPr>
        <w:pStyle w:val="Heading3"/>
        <w:widowControl/>
        <w:tabs>
          <w:tab w:val="center" w:pos="4680"/>
        </w:tabs>
        <w:suppressAutoHyphens/>
        <w:rPr>
          <w:rFonts w:ascii="Bookman Old Style" w:hAnsi="Bookman Old Style"/>
        </w:rPr>
      </w:pPr>
    </w:p>
    <w:p w14:paraId="2B81300B" w14:textId="77777777" w:rsidR="005E68FF" w:rsidRDefault="005E68FF" w:rsidP="005E68FF">
      <w:pPr>
        <w:widowControl/>
        <w:tabs>
          <w:tab w:val="left" w:pos="-720"/>
        </w:tabs>
        <w:suppressAutoHyphens/>
        <w:rPr>
          <w:rFonts w:ascii="Bookman Old Style" w:hAnsi="Bookman Old Style"/>
        </w:rPr>
      </w:pPr>
    </w:p>
    <w:p w14:paraId="161CE8A5"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6E15C2D4"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53E02465" w14:textId="4CA28AAB"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D74F7C">
        <w:rPr>
          <w:rFonts w:ascii="Bookman Old Style" w:hAnsi="Bookman Old Style"/>
          <w:szCs w:val="24"/>
        </w:rPr>
        <w:t>23 0065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D74F7C">
        <w:rPr>
          <w:rFonts w:ascii="Bookman Old Style" w:hAnsi="Bookman Old Style"/>
          <w:szCs w:val="24"/>
        </w:rPr>
        <w:t>March 16, 2023</w:t>
      </w:r>
    </w:p>
    <w:p w14:paraId="58E10763" w14:textId="77777777" w:rsidR="0016206D" w:rsidRPr="00FB77CC" w:rsidRDefault="0016206D" w:rsidP="00FB77CC">
      <w:pPr>
        <w:tabs>
          <w:tab w:val="left" w:pos="-720"/>
        </w:tabs>
        <w:suppressAutoHyphens/>
        <w:rPr>
          <w:rFonts w:ascii="Bookman Old Style" w:hAnsi="Bookman Old Style"/>
          <w:szCs w:val="24"/>
        </w:rPr>
      </w:pPr>
    </w:p>
    <w:p w14:paraId="4BE552DB" w14:textId="77777777" w:rsidR="0016206D" w:rsidRPr="00FB77CC" w:rsidRDefault="0016206D" w:rsidP="00D74F7C">
      <w:pPr>
        <w:tabs>
          <w:tab w:val="left" w:pos="-1440"/>
          <w:tab w:val="left" w:pos="-720"/>
          <w:tab w:val="left" w:pos="0"/>
          <w:tab w:val="left" w:pos="4590"/>
          <w:tab w:val="left" w:pos="5760"/>
          <w:tab w:val="left" w:pos="585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37A878FF" w14:textId="77777777" w:rsidR="0016206D" w:rsidRPr="00FB77CC" w:rsidRDefault="0016206D"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7661AAF7" w14:textId="3CD4D534" w:rsidR="00D74F7C" w:rsidRPr="00D74F7C" w:rsidRDefault="00D74F7C"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r w:rsidRPr="00D74F7C">
        <w:rPr>
          <w:rFonts w:ascii="Bookman Old Style" w:hAnsi="Bookman Old Style"/>
          <w:szCs w:val="24"/>
        </w:rPr>
        <w:t>UKPIQK MISHIBIZHII</w:t>
      </w:r>
      <w:r>
        <w:rPr>
          <w:rFonts w:ascii="Bookman Old Style" w:hAnsi="Bookman Old Style"/>
          <w:szCs w:val="24"/>
        </w:rPr>
        <w:tab/>
      </w:r>
      <w:r w:rsidRPr="00D74F7C">
        <w:rPr>
          <w:rFonts w:ascii="Bookman Old Style" w:hAnsi="Bookman Old Style"/>
          <w:szCs w:val="24"/>
        </w:rPr>
        <w:t xml:space="preserve">ALASKA NATIVE TRIBAL HEALTH </w:t>
      </w:r>
    </w:p>
    <w:p w14:paraId="6D42F5DB" w14:textId="7E41436C" w:rsidR="00D74F7C" w:rsidRDefault="00D74F7C"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28C47C53" w14:textId="14E239D2" w:rsidR="00E660C4" w:rsidRDefault="00E660C4"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45D0F392" w14:textId="77777777" w:rsidR="00E660C4" w:rsidRPr="00FB77CC" w:rsidRDefault="00E660C4"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2A12E2B7" w14:textId="77777777" w:rsidR="0016206D" w:rsidRPr="00FB77CC" w:rsidRDefault="0016206D"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31904054" w14:textId="77777777" w:rsidR="0016206D" w:rsidRPr="00FB77CC" w:rsidRDefault="0016206D"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060092B0" w14:textId="77777777" w:rsidR="0016206D" w:rsidRPr="00FB77CC" w:rsidRDefault="0016206D"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
    <w:p w14:paraId="5F0817F1" w14:textId="0EF1F043" w:rsidR="0016206D" w:rsidRDefault="00D74F7C"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proofErr w:type="spellStart"/>
      <w:r>
        <w:rPr>
          <w:rFonts w:ascii="Bookman Old Style" w:hAnsi="Bookman Old Style"/>
          <w:szCs w:val="24"/>
        </w:rPr>
        <w:t>Ukpiqk</w:t>
      </w:r>
      <w:proofErr w:type="spellEnd"/>
      <w:r>
        <w:rPr>
          <w:rFonts w:ascii="Bookman Old Style" w:hAnsi="Bookman Old Style"/>
          <w:szCs w:val="24"/>
        </w:rPr>
        <w:t xml:space="preserve"> </w:t>
      </w:r>
      <w:proofErr w:type="spellStart"/>
      <w:r>
        <w:rPr>
          <w:rFonts w:ascii="Bookman Old Style" w:hAnsi="Bookman Old Style"/>
          <w:szCs w:val="24"/>
        </w:rPr>
        <w:t>Mishibizhii</w:t>
      </w:r>
      <w:proofErr w:type="spellEnd"/>
      <w:r w:rsidR="00C841ED" w:rsidRPr="00FB77CC">
        <w:rPr>
          <w:rFonts w:ascii="Bookman Old Style" w:hAnsi="Bookman Old Style"/>
          <w:szCs w:val="24"/>
        </w:rPr>
        <w:tab/>
      </w:r>
      <w:r>
        <w:rPr>
          <w:rFonts w:ascii="Bookman Old Style" w:hAnsi="Bookman Old Style"/>
          <w:szCs w:val="24"/>
        </w:rPr>
        <w:t>Sarah Paschal</w:t>
      </w:r>
    </w:p>
    <w:p w14:paraId="729AFBC0" w14:textId="4ECEEA51" w:rsidR="00D74F7C" w:rsidRDefault="00D74F7C"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r>
        <w:rPr>
          <w:rFonts w:ascii="Bookman Old Style" w:hAnsi="Bookman Old Style"/>
          <w:szCs w:val="24"/>
        </w:rPr>
        <w:tab/>
        <w:t>Byron Horne</w:t>
      </w:r>
    </w:p>
    <w:p w14:paraId="30B48F48" w14:textId="608F8078" w:rsidR="00D74F7C" w:rsidRPr="00FB77CC" w:rsidRDefault="00D74F7C" w:rsidP="00D74F7C">
      <w:pPr>
        <w:tabs>
          <w:tab w:val="left" w:pos="-1440"/>
          <w:tab w:val="left" w:pos="-720"/>
          <w:tab w:val="left" w:pos="0"/>
          <w:tab w:val="left" w:pos="4590"/>
          <w:tab w:val="left" w:pos="5760"/>
          <w:tab w:val="left" w:pos="5850"/>
        </w:tabs>
        <w:suppressAutoHyphens/>
        <w:ind w:right="-360"/>
        <w:rPr>
          <w:rFonts w:ascii="Bookman Old Style" w:hAnsi="Bookman Old Style"/>
          <w:szCs w:val="24"/>
        </w:rPr>
      </w:pPr>
      <w:r>
        <w:rPr>
          <w:rFonts w:ascii="Bookman Old Style" w:hAnsi="Bookman Old Style"/>
          <w:szCs w:val="24"/>
        </w:rPr>
        <w:tab/>
        <w:t>Chris Murray</w:t>
      </w:r>
    </w:p>
    <w:p w14:paraId="361DB49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CA6FA26"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1CD75B19" w14:textId="77777777" w:rsidR="0016206D" w:rsidRPr="00FB77CC" w:rsidRDefault="0016206D" w:rsidP="00FB77CC">
      <w:pPr>
        <w:tabs>
          <w:tab w:val="center" w:pos="4860"/>
        </w:tabs>
        <w:suppressAutoHyphens/>
        <w:ind w:right="-360"/>
        <w:rPr>
          <w:rFonts w:ascii="Bookman Old Style" w:hAnsi="Bookman Old Style"/>
          <w:szCs w:val="24"/>
        </w:rPr>
      </w:pPr>
    </w:p>
    <w:p w14:paraId="6CD0D424" w14:textId="1BB13046" w:rsidR="0016206D" w:rsidRPr="00FB77CC" w:rsidRDefault="003F54EA" w:rsidP="00D74F7C">
      <w:pPr>
        <w:widowControl/>
        <w:spacing w:after="200"/>
        <w:rPr>
          <w:rFonts w:ascii="Bookman Old Style" w:hAnsi="Bookman Old Style"/>
          <w:szCs w:val="24"/>
        </w:rPr>
      </w:pPr>
      <w:r w:rsidRPr="00FB77CC">
        <w:rPr>
          <w:rFonts w:ascii="Bookman Old Style" w:hAnsi="Bookman Old Style"/>
          <w:snapToGrid/>
          <w:szCs w:val="24"/>
        </w:rPr>
        <w:t xml:space="preserve">The </w:t>
      </w:r>
      <w:r w:rsidR="00D74F7C">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D74F7C">
        <w:rPr>
          <w:rFonts w:ascii="Bookman Old Style" w:hAnsi="Bookman Old Style"/>
          <w:snapToGrid/>
          <w:szCs w:val="24"/>
        </w:rPr>
        <w:t xml:space="preserve">January 19, </w:t>
      </w:r>
      <w:proofErr w:type="gramStart"/>
      <w:r w:rsidR="00D74F7C">
        <w:rPr>
          <w:rFonts w:ascii="Bookman Old Style" w:hAnsi="Bookman Old Style"/>
          <w:snapToGrid/>
          <w:szCs w:val="24"/>
        </w:rPr>
        <w:t>2023</w:t>
      </w:r>
      <w:proofErr w:type="gramEnd"/>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226750E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2719AFAF" w14:textId="7795BE59" w:rsidR="003F54EA" w:rsidRPr="00FB77CC" w:rsidRDefault="003F54EA" w:rsidP="00FB77CC">
      <w:pPr>
        <w:widowControl/>
        <w:tabs>
          <w:tab w:val="left" w:pos="-1440"/>
          <w:tab w:val="left" w:pos="-720"/>
        </w:tabs>
        <w:spacing w:after="200"/>
        <w:rPr>
          <w:rFonts w:ascii="Bookman Old Style" w:hAnsi="Bookman Old Style"/>
          <w:snapToGrid/>
          <w:szCs w:val="24"/>
        </w:rPr>
      </w:pPr>
    </w:p>
    <w:p w14:paraId="1F758C0A" w14:textId="285AF4D1"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D74F7C">
        <w:rPr>
          <w:rFonts w:ascii="Bookman Old Style" w:hAnsi="Bookman Old Style"/>
          <w:snapToGrid/>
          <w:szCs w:val="24"/>
        </w:rPr>
        <w:t>August 15, 2022</w:t>
      </w:r>
      <w:r w:rsidRPr="00FB77CC">
        <w:rPr>
          <w:rFonts w:ascii="Bookman Old Style" w:hAnsi="Bookman Old Style"/>
          <w:snapToGrid/>
          <w:szCs w:val="24"/>
        </w:rPr>
        <w:t xml:space="preserve">. </w:t>
      </w:r>
      <w:r w:rsidR="00D74F7C">
        <w:rPr>
          <w:rFonts w:ascii="Bookman Old Style" w:hAnsi="Bookman Old Style"/>
          <w:snapToGrid/>
          <w:szCs w:val="24"/>
        </w:rPr>
        <w:t>She</w:t>
      </w:r>
      <w:r w:rsidRPr="00FB77CC">
        <w:rPr>
          <w:rFonts w:ascii="Bookman Old Style" w:hAnsi="Bookman Old Style"/>
          <w:snapToGrid/>
          <w:szCs w:val="24"/>
        </w:rPr>
        <w:t xml:space="preserve"> last worked on </w:t>
      </w:r>
      <w:r w:rsidR="00D74F7C">
        <w:rPr>
          <w:rFonts w:ascii="Bookman Old Style" w:hAnsi="Bookman Old Style"/>
          <w:snapToGrid/>
          <w:szCs w:val="24"/>
        </w:rPr>
        <w:t>January 6, 2023</w:t>
      </w:r>
      <w:r w:rsidRPr="00FB77CC">
        <w:rPr>
          <w:rFonts w:ascii="Bookman Old Style" w:hAnsi="Bookman Old Style"/>
          <w:snapToGrid/>
          <w:szCs w:val="24"/>
        </w:rPr>
        <w:t xml:space="preserve">. At that time, </w:t>
      </w:r>
      <w:r w:rsidR="00D74F7C">
        <w:rPr>
          <w:rFonts w:ascii="Bookman Old Style" w:hAnsi="Bookman Old Style"/>
          <w:snapToGrid/>
          <w:szCs w:val="24"/>
        </w:rPr>
        <w:t>she</w:t>
      </w:r>
      <w:r w:rsidRPr="00FB77CC">
        <w:rPr>
          <w:rFonts w:ascii="Bookman Old Style" w:hAnsi="Bookman Old Style"/>
          <w:snapToGrid/>
          <w:szCs w:val="24"/>
        </w:rPr>
        <w:t xml:space="preserve"> worked </w:t>
      </w:r>
      <w:r w:rsidR="00D74F7C">
        <w:rPr>
          <w:rFonts w:ascii="Bookman Old Style" w:hAnsi="Bookman Old Style"/>
          <w:snapToGrid/>
          <w:szCs w:val="24"/>
        </w:rPr>
        <w:t>full-time</w:t>
      </w:r>
      <w:r w:rsidRPr="00FB77CC">
        <w:rPr>
          <w:rFonts w:ascii="Bookman Old Style" w:hAnsi="Bookman Old Style"/>
          <w:snapToGrid/>
          <w:szCs w:val="24"/>
        </w:rPr>
        <w:t xml:space="preserve"> as a </w:t>
      </w:r>
      <w:r w:rsidR="00D74F7C">
        <w:rPr>
          <w:rFonts w:ascii="Bookman Old Style" w:hAnsi="Bookman Old Style"/>
          <w:snapToGrid/>
          <w:szCs w:val="24"/>
        </w:rPr>
        <w:t>medical clerk</w:t>
      </w:r>
      <w:r w:rsidRPr="00FB77CC">
        <w:rPr>
          <w:rFonts w:ascii="Bookman Old Style" w:hAnsi="Bookman Old Style"/>
          <w:snapToGrid/>
          <w:szCs w:val="24"/>
        </w:rPr>
        <w:t>.</w:t>
      </w:r>
    </w:p>
    <w:p w14:paraId="446EC4D3" w14:textId="13049E8C" w:rsidR="00D74F7C" w:rsidRDefault="00D74F7C"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January 5, 2023, the employer received a complaint that the claimant had sent an email to an </w:t>
      </w:r>
      <w:r w:rsidR="00D254B5">
        <w:rPr>
          <w:rFonts w:ascii="Bookman Old Style" w:hAnsi="Bookman Old Style"/>
          <w:snapToGrid/>
          <w:szCs w:val="24"/>
        </w:rPr>
        <w:t xml:space="preserve">admissions </w:t>
      </w:r>
      <w:r>
        <w:rPr>
          <w:rFonts w:ascii="Bookman Old Style" w:hAnsi="Bookman Old Style"/>
          <w:snapToGrid/>
          <w:szCs w:val="24"/>
        </w:rPr>
        <w:t xml:space="preserve">employee of a school </w:t>
      </w:r>
      <w:r w:rsidR="00D254B5">
        <w:rPr>
          <w:rFonts w:ascii="Bookman Old Style" w:hAnsi="Bookman Old Style"/>
          <w:snapToGrid/>
          <w:szCs w:val="24"/>
        </w:rPr>
        <w:t>with which the employer had a business relationship</w:t>
      </w:r>
      <w:r>
        <w:rPr>
          <w:rFonts w:ascii="Bookman Old Style" w:hAnsi="Bookman Old Style"/>
          <w:snapToGrid/>
          <w:szCs w:val="24"/>
        </w:rPr>
        <w:t xml:space="preserve">.  The claimant sent the email from her work email about her personal plans to attend the school. The claimant’s email </w:t>
      </w:r>
      <w:r w:rsidR="00D254B5">
        <w:rPr>
          <w:rFonts w:ascii="Bookman Old Style" w:hAnsi="Bookman Old Style"/>
          <w:snapToGrid/>
          <w:szCs w:val="24"/>
        </w:rPr>
        <w:t xml:space="preserve">was very angry in tone and </w:t>
      </w:r>
      <w:r>
        <w:rPr>
          <w:rFonts w:ascii="Bookman Old Style" w:hAnsi="Bookman Old Style"/>
          <w:snapToGrid/>
          <w:szCs w:val="24"/>
        </w:rPr>
        <w:t>used profanity</w:t>
      </w:r>
      <w:r w:rsidR="00D254B5">
        <w:rPr>
          <w:rFonts w:ascii="Bookman Old Style" w:hAnsi="Bookman Old Style"/>
          <w:snapToGrid/>
          <w:szCs w:val="24"/>
        </w:rPr>
        <w:t xml:space="preserve">. The claimant recalled that she was very frustrated because she felt the admissions employee was harassing her, so she lost her temper and sent the message from her work email.  </w:t>
      </w:r>
    </w:p>
    <w:p w14:paraId="5059FDF5" w14:textId="77777777" w:rsidR="00D254B5" w:rsidRDefault="00D254B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January 6, 2023, the claimant was advised she was being placed on unpaid administrative leave while the employer investigated the matter. The employer provided a document stating the terms of the leave, but the claimant declined to sign the form or take a copy. </w:t>
      </w:r>
    </w:p>
    <w:p w14:paraId="4CFAA0E9" w14:textId="7AE8055C" w:rsidR="00D254B5" w:rsidRDefault="00D254B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The claimant thought she had been terminated because she believed unpaid, indefinite leave severed the employment relationship.  After the claimant left work, she called the school employee and left a message telling her she had gotten the claimant fired and expressing her anger with profanity. The school employee was alarmed by the message and requested security stand by</w:t>
      </w:r>
      <w:r w:rsidR="003F3852">
        <w:rPr>
          <w:rFonts w:ascii="Bookman Old Style" w:hAnsi="Bookman Old Style"/>
          <w:snapToGrid/>
          <w:szCs w:val="24"/>
        </w:rPr>
        <w:t xml:space="preserve"> her worksite</w:t>
      </w:r>
      <w:r>
        <w:rPr>
          <w:rFonts w:ascii="Bookman Old Style" w:hAnsi="Bookman Old Style"/>
          <w:snapToGrid/>
          <w:szCs w:val="24"/>
        </w:rPr>
        <w:t xml:space="preserve">.  </w:t>
      </w:r>
      <w:r w:rsidR="002D002F">
        <w:rPr>
          <w:rFonts w:ascii="Bookman Old Style" w:hAnsi="Bookman Old Style"/>
          <w:snapToGrid/>
          <w:szCs w:val="24"/>
        </w:rPr>
        <w:t xml:space="preserve">The school notified the employer and provided an audio copy of the message. </w:t>
      </w:r>
    </w:p>
    <w:p w14:paraId="10480A3C" w14:textId="77777777" w:rsidR="002D002F" w:rsidRDefault="002D002F" w:rsidP="002D002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considered that the claimant had violated its policy prohibiting workplace conduct that would reflect poorly on the employer. The employer held that employees are provided with copies of the employer’s policy on hire and the policies are available on the employer’s website. The claimant did not recall that she was provided with the policies or told that they were available on the website. </w:t>
      </w:r>
    </w:p>
    <w:p w14:paraId="7F54DE95" w14:textId="7ABF62F3" w:rsidR="0016206D" w:rsidRPr="00FB77CC" w:rsidRDefault="002D002F" w:rsidP="002D002F">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The employer </w:t>
      </w:r>
      <w:r w:rsidR="003F3852">
        <w:rPr>
          <w:rFonts w:ascii="Bookman Old Style" w:hAnsi="Bookman Old Style"/>
          <w:snapToGrid/>
          <w:szCs w:val="24"/>
        </w:rPr>
        <w:t xml:space="preserve">had initially </w:t>
      </w:r>
      <w:r>
        <w:rPr>
          <w:rFonts w:ascii="Bookman Old Style" w:hAnsi="Bookman Old Style"/>
          <w:snapToGrid/>
          <w:szCs w:val="24"/>
        </w:rPr>
        <w:t>held that since the claimant had not been formally counseled about similar behavior, some level of discipline short of discharge was likely warranted</w:t>
      </w:r>
      <w:r w:rsidR="003F3852">
        <w:rPr>
          <w:rFonts w:ascii="Bookman Old Style" w:hAnsi="Bookman Old Style"/>
          <w:snapToGrid/>
          <w:szCs w:val="24"/>
        </w:rPr>
        <w:t xml:space="preserve"> for sending the email</w:t>
      </w:r>
      <w:r>
        <w:rPr>
          <w:rFonts w:ascii="Bookman Old Style" w:hAnsi="Bookman Old Style"/>
          <w:snapToGrid/>
          <w:szCs w:val="24"/>
        </w:rPr>
        <w:t xml:space="preserve">. Before that could be considered, the employer </w:t>
      </w:r>
      <w:r w:rsidR="003F3852">
        <w:rPr>
          <w:rFonts w:ascii="Bookman Old Style" w:hAnsi="Bookman Old Style"/>
          <w:snapToGrid/>
          <w:szCs w:val="24"/>
        </w:rPr>
        <w:t>learned of t</w:t>
      </w:r>
      <w:r>
        <w:rPr>
          <w:rFonts w:ascii="Bookman Old Style" w:hAnsi="Bookman Old Style"/>
          <w:snapToGrid/>
          <w:szCs w:val="24"/>
        </w:rPr>
        <w:t xml:space="preserve">he voice message. </w:t>
      </w:r>
      <w:r>
        <w:rPr>
          <w:rFonts w:ascii="Bookman Old Style" w:hAnsi="Bookman Old Style"/>
          <w:snapToGrid/>
          <w:szCs w:val="24"/>
        </w:rPr>
        <w:t xml:space="preserve">The employer was concerned that the claimant’s actions could harm the relationship the employer had with the school. </w:t>
      </w:r>
      <w:r>
        <w:rPr>
          <w:rFonts w:ascii="Bookman Old Style" w:hAnsi="Bookman Old Style"/>
          <w:snapToGrid/>
          <w:szCs w:val="24"/>
        </w:rPr>
        <w:t xml:space="preserve">It was decided that the claimant would be discharged because of the second incident of inappropriate conduct </w:t>
      </w:r>
      <w:r w:rsidR="004B6BD9">
        <w:rPr>
          <w:rFonts w:ascii="Bookman Old Style" w:hAnsi="Bookman Old Style"/>
          <w:snapToGrid/>
          <w:szCs w:val="24"/>
        </w:rPr>
        <w:t xml:space="preserve">immediately </w:t>
      </w:r>
      <w:r>
        <w:rPr>
          <w:rFonts w:ascii="Bookman Old Style" w:hAnsi="Bookman Old Style"/>
          <w:snapToGrid/>
          <w:szCs w:val="24"/>
        </w:rPr>
        <w:t xml:space="preserve">after she had been warned that her actions in sending the email were a policy violation. The claimant was advised on January 13, </w:t>
      </w:r>
      <w:proofErr w:type="gramStart"/>
      <w:r>
        <w:rPr>
          <w:rFonts w:ascii="Bookman Old Style" w:hAnsi="Bookman Old Style"/>
          <w:snapToGrid/>
          <w:szCs w:val="24"/>
        </w:rPr>
        <w:t>2023</w:t>
      </w:r>
      <w:proofErr w:type="gramEnd"/>
      <w:r>
        <w:rPr>
          <w:rFonts w:ascii="Bookman Old Style" w:hAnsi="Bookman Old Style"/>
          <w:snapToGrid/>
          <w:szCs w:val="24"/>
        </w:rPr>
        <w:t xml:space="preserve"> that </w:t>
      </w:r>
      <w:r w:rsidR="004B6BD9">
        <w:rPr>
          <w:rFonts w:ascii="Bookman Old Style" w:hAnsi="Bookman Old Style"/>
          <w:snapToGrid/>
          <w:szCs w:val="24"/>
        </w:rPr>
        <w:t>she was discharged</w:t>
      </w:r>
      <w:r>
        <w:rPr>
          <w:rFonts w:ascii="Bookman Old Style" w:hAnsi="Bookman Old Style"/>
          <w:snapToGrid/>
          <w:szCs w:val="24"/>
        </w:rPr>
        <w:t>.</w:t>
      </w:r>
    </w:p>
    <w:p w14:paraId="75EC045E"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7A708F4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B3627E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77A5CC44"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6D29B89E" w14:textId="195033E8" w:rsidR="00E1431E" w:rsidRPr="00FB77CC" w:rsidRDefault="0016206D" w:rsidP="004B6BD9">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749C89B8"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345C4FA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468A497"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4D7F166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F8BA705"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658DD9F6" w14:textId="34E40F18" w:rsidR="0016206D" w:rsidRPr="00FB77CC" w:rsidRDefault="00E1431E" w:rsidP="004B6BD9">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4A0F95B" w14:textId="5E8B1197" w:rsidR="004B6BD9" w:rsidRDefault="0016206D" w:rsidP="004B6BD9">
      <w:pPr>
        <w:numPr>
          <w:ilvl w:val="0"/>
          <w:numId w:val="2"/>
        </w:numPr>
        <w:tabs>
          <w:tab w:val="left" w:pos="-1440"/>
          <w:tab w:val="left" w:pos="-720"/>
          <w:tab w:val="left" w:pos="720"/>
          <w:tab w:val="left" w:pos="1440"/>
          <w:tab w:val="left" w:pos="2160"/>
        </w:tabs>
        <w:suppressAutoHyphens/>
        <w:ind w:right="-360"/>
        <w:rPr>
          <w:rFonts w:ascii="Bookman Old Style" w:hAnsi="Bookman Old Style"/>
          <w:szCs w:val="24"/>
        </w:rPr>
      </w:pPr>
      <w:r w:rsidRPr="00FB77CC">
        <w:rPr>
          <w:rFonts w:ascii="Bookman Old Style" w:hAnsi="Bookman Old Style"/>
          <w:szCs w:val="24"/>
        </w:rPr>
        <w:t>a claimant's conduct on the job, if the conduct</w:t>
      </w:r>
      <w:r w:rsidR="00E1431E" w:rsidRPr="00FB77CC">
        <w:rPr>
          <w:rFonts w:ascii="Bookman Old Style" w:hAnsi="Bookman Old Style"/>
          <w:szCs w:val="24"/>
        </w:rPr>
        <w:t xml:space="preserve"> </w:t>
      </w:r>
      <w:r w:rsidRPr="00FB77CC">
        <w:rPr>
          <w:rFonts w:ascii="Bookman Old Style" w:hAnsi="Bookman Old Style"/>
          <w:szCs w:val="24"/>
        </w:rPr>
        <w:t>shows a wil</w:t>
      </w:r>
      <w:r w:rsidR="00C841ED" w:rsidRPr="00FB77CC">
        <w:rPr>
          <w:rFonts w:ascii="Bookman Old Style" w:hAnsi="Bookman Old Style"/>
          <w:szCs w:val="24"/>
        </w:rPr>
        <w:t>l</w:t>
      </w:r>
      <w:r w:rsidRPr="00FB77CC">
        <w:rPr>
          <w:rFonts w:ascii="Bookman Old Style" w:hAnsi="Bookman Old Style"/>
          <w:szCs w:val="24"/>
        </w:rPr>
        <w:t>ful and wanton disregard of the employer's interes</w:t>
      </w:r>
      <w:r w:rsidR="00E1431E" w:rsidRPr="00FB77CC">
        <w:rPr>
          <w:rFonts w:ascii="Bookman Old Style" w:hAnsi="Bookman Old Style"/>
          <w:szCs w:val="24"/>
        </w:rPr>
        <w:t xml:space="preserve">t, as a claimant might show, for </w:t>
      </w:r>
      <w:r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Pr="00FB77CC">
        <w:rPr>
          <w:rFonts w:ascii="Bookman Old Style" w:hAnsi="Bookman Old Style"/>
          <w:szCs w:val="24"/>
        </w:rPr>
        <w:t xml:space="preserve">ful and wanton disregard of the employer's interest does not arise solely from inefficiency, </w:t>
      </w:r>
    </w:p>
    <w:p w14:paraId="57BBB25F" w14:textId="77777777" w:rsidR="004B6BD9" w:rsidRDefault="004B6BD9" w:rsidP="004B6BD9">
      <w:pPr>
        <w:tabs>
          <w:tab w:val="left" w:pos="-1440"/>
          <w:tab w:val="left" w:pos="-720"/>
          <w:tab w:val="left" w:pos="720"/>
          <w:tab w:val="left" w:pos="1440"/>
          <w:tab w:val="left" w:pos="2160"/>
        </w:tabs>
        <w:suppressAutoHyphens/>
        <w:ind w:left="2190" w:right="-360"/>
        <w:rPr>
          <w:rFonts w:ascii="Bookman Old Style" w:hAnsi="Bookman Old Style"/>
          <w:szCs w:val="24"/>
        </w:rPr>
      </w:pPr>
    </w:p>
    <w:p w14:paraId="3D0C4236" w14:textId="77777777" w:rsidR="004B6BD9" w:rsidRDefault="004B6BD9" w:rsidP="004B6BD9">
      <w:pPr>
        <w:tabs>
          <w:tab w:val="left" w:pos="-1440"/>
          <w:tab w:val="left" w:pos="-720"/>
          <w:tab w:val="left" w:pos="720"/>
          <w:tab w:val="left" w:pos="1440"/>
          <w:tab w:val="left" w:pos="2160"/>
        </w:tabs>
        <w:suppressAutoHyphens/>
        <w:ind w:left="2190" w:right="-360"/>
        <w:rPr>
          <w:rFonts w:ascii="Bookman Old Style" w:hAnsi="Bookman Old Style"/>
          <w:szCs w:val="24"/>
        </w:rPr>
      </w:pPr>
    </w:p>
    <w:p w14:paraId="0DEF9307" w14:textId="56B6C765" w:rsidR="0016206D" w:rsidRPr="00FB77CC" w:rsidRDefault="0016206D" w:rsidP="004B6BD9">
      <w:pPr>
        <w:tabs>
          <w:tab w:val="left" w:pos="-1440"/>
          <w:tab w:val="left" w:pos="-720"/>
          <w:tab w:val="left" w:pos="720"/>
          <w:tab w:val="left" w:pos="1440"/>
          <w:tab w:val="left" w:pos="2160"/>
        </w:tabs>
        <w:suppressAutoHyphens/>
        <w:ind w:left="2190" w:right="-360"/>
        <w:rPr>
          <w:rFonts w:ascii="Bookman Old Style" w:hAnsi="Bookman Old Style"/>
          <w:szCs w:val="24"/>
        </w:rPr>
      </w:pPr>
      <w:r w:rsidRPr="00FB77CC">
        <w:rPr>
          <w:rFonts w:ascii="Bookman Old Style" w:hAnsi="Bookman Old Style"/>
          <w:szCs w:val="24"/>
        </w:rPr>
        <w:t>unsatisfactory performance as the result of inability or incapacity, inadvertence,</w:t>
      </w:r>
      <w:r w:rsidR="00E1431E" w:rsidRPr="00FB77CC">
        <w:rPr>
          <w:rFonts w:ascii="Bookman Old Style" w:hAnsi="Bookman Old Style"/>
          <w:szCs w:val="24"/>
        </w:rPr>
        <w:t xml:space="preserve"> </w:t>
      </w:r>
      <w:r w:rsidRPr="00FB77CC">
        <w:rPr>
          <w:rFonts w:ascii="Bookman Old Style" w:hAnsi="Bookman Old Style"/>
          <w:szCs w:val="24"/>
        </w:rPr>
        <w:t>ordinary negligence in isolated instances, or good faith errors in judgment or discretion....</w:t>
      </w:r>
    </w:p>
    <w:p w14:paraId="3AE8332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8FF678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7933E31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18E9A4F" w14:textId="77777777" w:rsidR="003F3852" w:rsidRDefault="004B6BD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after she called a school employee and left an angry message about the employee getting her fired. The claimant argued that she believed she had </w:t>
      </w:r>
      <w:r w:rsidR="003F3852">
        <w:rPr>
          <w:rFonts w:ascii="Bookman Old Style" w:hAnsi="Bookman Old Style"/>
          <w:szCs w:val="24"/>
        </w:rPr>
        <w:t xml:space="preserve">already been </w:t>
      </w:r>
      <w:r>
        <w:rPr>
          <w:rFonts w:ascii="Bookman Old Style" w:hAnsi="Bookman Old Style"/>
          <w:szCs w:val="24"/>
        </w:rPr>
        <w:t xml:space="preserve">fired </w:t>
      </w:r>
      <w:r w:rsidR="003F3852">
        <w:rPr>
          <w:rFonts w:ascii="Bookman Old Style" w:hAnsi="Bookman Old Style"/>
          <w:szCs w:val="24"/>
        </w:rPr>
        <w:t xml:space="preserve">when she left the voice message </w:t>
      </w:r>
      <w:r>
        <w:rPr>
          <w:rFonts w:ascii="Bookman Old Style" w:hAnsi="Bookman Old Style"/>
          <w:szCs w:val="24"/>
        </w:rPr>
        <w:t>because she was placed on unpaid indefinite leave, so her actions in calling the employee were not related to work. The Tribunal does not agree.  The claimant was not placed on indefinite leave, she was placed on leave while the matter was investigated.  The employer’s document presented to the claimant when she was placed on leave</w:t>
      </w:r>
      <w:r w:rsidR="003F3852">
        <w:rPr>
          <w:rFonts w:ascii="Bookman Old Style" w:hAnsi="Bookman Old Style"/>
          <w:szCs w:val="24"/>
        </w:rPr>
        <w:t xml:space="preserve"> made it clear that the employment relationship was not severed</w:t>
      </w:r>
      <w:r>
        <w:rPr>
          <w:rFonts w:ascii="Bookman Old Style" w:hAnsi="Bookman Old Style"/>
          <w:szCs w:val="24"/>
        </w:rPr>
        <w:t xml:space="preserve">.  </w:t>
      </w:r>
    </w:p>
    <w:p w14:paraId="1E0118A5" w14:textId="77777777" w:rsidR="003F3852" w:rsidRDefault="004B6BD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employment relationship was ended </w:t>
      </w:r>
      <w:r w:rsidR="003F3852">
        <w:rPr>
          <w:rFonts w:ascii="Bookman Old Style" w:hAnsi="Bookman Old Style"/>
          <w:szCs w:val="24"/>
        </w:rPr>
        <w:t>when</w:t>
      </w:r>
      <w:r>
        <w:rPr>
          <w:rFonts w:ascii="Bookman Old Style" w:hAnsi="Bookman Old Style"/>
          <w:szCs w:val="24"/>
        </w:rPr>
        <w:t xml:space="preserve"> the employer contacted the claimant on January 13, </w:t>
      </w:r>
      <w:proofErr w:type="gramStart"/>
      <w:r>
        <w:rPr>
          <w:rFonts w:ascii="Bookman Old Style" w:hAnsi="Bookman Old Style"/>
          <w:szCs w:val="24"/>
        </w:rPr>
        <w:t>2023</w:t>
      </w:r>
      <w:proofErr w:type="gramEnd"/>
      <w:r>
        <w:rPr>
          <w:rFonts w:ascii="Bookman Old Style" w:hAnsi="Bookman Old Style"/>
          <w:szCs w:val="24"/>
        </w:rPr>
        <w:t xml:space="preserve"> to let her know the result of their investigation was that she was discharged.  </w:t>
      </w:r>
    </w:p>
    <w:p w14:paraId="4D48F697" w14:textId="77777777" w:rsidR="003F3852" w:rsidRDefault="003F3852" w:rsidP="00FB77CC">
      <w:pPr>
        <w:tabs>
          <w:tab w:val="left" w:pos="-1440"/>
          <w:tab w:val="left" w:pos="-720"/>
        </w:tabs>
        <w:suppressAutoHyphens/>
        <w:ind w:right="-360"/>
        <w:rPr>
          <w:rFonts w:ascii="Bookman Old Style" w:hAnsi="Bookman Old Style"/>
          <w:szCs w:val="24"/>
        </w:rPr>
      </w:pPr>
    </w:p>
    <w:p w14:paraId="569BA79F" w14:textId="2B1B318F" w:rsidR="0016206D" w:rsidRDefault="004B6BD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claimant’s actions in using her work email to send an inappropriately profane message tied the matter to her work and the employer placing the claimant on leave did not separate her behavior from her connection to the employer. The claimant referenced her work ending in the voice mail.  The Tribunal holds the claimant</w:t>
      </w:r>
      <w:r w:rsidR="00F1165F">
        <w:rPr>
          <w:rFonts w:ascii="Bookman Old Style" w:hAnsi="Bookman Old Style"/>
          <w:szCs w:val="24"/>
        </w:rPr>
        <w:t>’</w:t>
      </w:r>
      <w:r>
        <w:rPr>
          <w:rFonts w:ascii="Bookman Old Style" w:hAnsi="Bookman Old Style"/>
          <w:szCs w:val="24"/>
        </w:rPr>
        <w:t xml:space="preserve">s actions in sending the email and the voice mail were connected to her work. </w:t>
      </w:r>
    </w:p>
    <w:p w14:paraId="515BC619" w14:textId="48CB9E00" w:rsidR="00F1165F" w:rsidRDefault="00F1165F" w:rsidP="00FB77CC">
      <w:pPr>
        <w:tabs>
          <w:tab w:val="left" w:pos="-1440"/>
          <w:tab w:val="left" w:pos="-720"/>
        </w:tabs>
        <w:suppressAutoHyphens/>
        <w:ind w:right="-360"/>
        <w:rPr>
          <w:rFonts w:ascii="Bookman Old Style" w:hAnsi="Bookman Old Style"/>
          <w:szCs w:val="24"/>
        </w:rPr>
      </w:pPr>
    </w:p>
    <w:p w14:paraId="7F133FB4" w14:textId="77777777" w:rsidR="00F1165F" w:rsidRPr="009500EB" w:rsidRDefault="00F1165F" w:rsidP="00F1165F">
      <w:pPr>
        <w:ind w:left="720"/>
        <w:rPr>
          <w:rFonts w:ascii="Bookman Old Style" w:hAnsi="Bookman Old Style"/>
          <w:i/>
          <w:szCs w:val="24"/>
        </w:rPr>
      </w:pPr>
      <w:r w:rsidRPr="009500EB">
        <w:rPr>
          <w:rFonts w:ascii="Bookman Old Style" w:hAnsi="Bookman Old Style"/>
          <w:i/>
          <w:szCs w:val="24"/>
        </w:rPr>
        <w:t xml:space="preserve">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w:t>
      </w:r>
      <w:proofErr w:type="gramStart"/>
      <w:r w:rsidRPr="009500EB">
        <w:rPr>
          <w:rFonts w:ascii="Bookman Old Style" w:hAnsi="Bookman Old Style"/>
          <w:i/>
          <w:szCs w:val="24"/>
        </w:rPr>
        <w:t>hand</w:t>
      </w:r>
      <w:proofErr w:type="gramEnd"/>
      <w:r w:rsidRPr="009500EB">
        <w:rPr>
          <w:rFonts w:ascii="Bookman Old Style" w:hAnsi="Bookman Old Style"/>
          <w:i/>
          <w:szCs w:val="24"/>
        </w:rPr>
        <w:t xml:space="preserve">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14:paraId="46793593" w14:textId="5C22F6DF" w:rsidR="00F1165F" w:rsidRDefault="00F1165F" w:rsidP="00FB77CC">
      <w:pPr>
        <w:tabs>
          <w:tab w:val="left" w:pos="-1440"/>
          <w:tab w:val="left" w:pos="-720"/>
        </w:tabs>
        <w:suppressAutoHyphens/>
        <w:ind w:right="-360"/>
        <w:rPr>
          <w:rFonts w:ascii="Bookman Old Style" w:hAnsi="Bookman Old Style"/>
          <w:szCs w:val="24"/>
        </w:rPr>
      </w:pPr>
    </w:p>
    <w:p w14:paraId="0EA5841E" w14:textId="77777777" w:rsidR="008279E0" w:rsidRDefault="003F3852"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claimant’s actions were willful and had the potential to cause harm to the employer. </w:t>
      </w:r>
      <w:r>
        <w:rPr>
          <w:rFonts w:ascii="Bookman Old Style" w:hAnsi="Bookman Old Style"/>
          <w:szCs w:val="24"/>
        </w:rPr>
        <w:t xml:space="preserve">The </w:t>
      </w:r>
      <w:r>
        <w:rPr>
          <w:rFonts w:ascii="Bookman Old Style" w:hAnsi="Bookman Old Style"/>
          <w:szCs w:val="24"/>
        </w:rPr>
        <w:t xml:space="preserve">Tribunal finds the </w:t>
      </w:r>
      <w:r>
        <w:rPr>
          <w:rFonts w:ascii="Bookman Old Style" w:hAnsi="Bookman Old Style"/>
          <w:szCs w:val="24"/>
        </w:rPr>
        <w:t>claimant’s actions in sending the email and</w:t>
      </w:r>
    </w:p>
    <w:p w14:paraId="2AB6737D" w14:textId="77777777" w:rsidR="008279E0" w:rsidRDefault="008279E0" w:rsidP="00FB77CC">
      <w:pPr>
        <w:tabs>
          <w:tab w:val="left" w:pos="-1440"/>
          <w:tab w:val="left" w:pos="-720"/>
        </w:tabs>
        <w:suppressAutoHyphens/>
        <w:ind w:right="-360"/>
        <w:rPr>
          <w:rFonts w:ascii="Bookman Old Style" w:hAnsi="Bookman Old Style"/>
          <w:szCs w:val="24"/>
        </w:rPr>
      </w:pPr>
    </w:p>
    <w:p w14:paraId="2F30D0C9" w14:textId="77777777" w:rsidR="008279E0" w:rsidRDefault="008279E0" w:rsidP="00FB77CC">
      <w:pPr>
        <w:tabs>
          <w:tab w:val="left" w:pos="-1440"/>
          <w:tab w:val="left" w:pos="-720"/>
        </w:tabs>
        <w:suppressAutoHyphens/>
        <w:ind w:right="-360"/>
        <w:rPr>
          <w:rFonts w:ascii="Bookman Old Style" w:hAnsi="Bookman Old Style"/>
          <w:szCs w:val="24"/>
        </w:rPr>
      </w:pPr>
    </w:p>
    <w:p w14:paraId="4465B4AF" w14:textId="36790F70" w:rsidR="00F1165F" w:rsidRDefault="008279E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l</w:t>
      </w:r>
      <w:r w:rsidR="003F3852">
        <w:rPr>
          <w:rFonts w:ascii="Bookman Old Style" w:hAnsi="Bookman Old Style"/>
          <w:szCs w:val="24"/>
        </w:rPr>
        <w:t xml:space="preserve">eaving the voice message rise to the level of misconduct </w:t>
      </w:r>
      <w:r>
        <w:rPr>
          <w:rFonts w:ascii="Bookman Old Style" w:hAnsi="Bookman Old Style"/>
          <w:szCs w:val="24"/>
        </w:rPr>
        <w:t xml:space="preserve">as it is described in </w:t>
      </w:r>
      <w:r w:rsidRPr="008279E0">
        <w:rPr>
          <w:rFonts w:ascii="Bookman Old Style" w:hAnsi="Bookman Old Style"/>
          <w:szCs w:val="24"/>
          <w:u w:val="single"/>
        </w:rPr>
        <w:t>Boynton</w:t>
      </w:r>
      <w:r>
        <w:rPr>
          <w:rFonts w:ascii="Bookman Old Style" w:hAnsi="Bookman Old Style"/>
          <w:szCs w:val="24"/>
        </w:rPr>
        <w:t xml:space="preserve"> and </w:t>
      </w:r>
      <w:r w:rsidRPr="008279E0">
        <w:rPr>
          <w:rFonts w:ascii="Bookman Old Style" w:hAnsi="Bookman Old Style"/>
          <w:szCs w:val="24"/>
          <w:u w:val="single"/>
        </w:rPr>
        <w:t>Lynch</w:t>
      </w:r>
      <w:r>
        <w:rPr>
          <w:rFonts w:ascii="Bookman Old Style" w:hAnsi="Bookman Old Style"/>
          <w:szCs w:val="24"/>
        </w:rPr>
        <w:t>, above</w:t>
      </w:r>
      <w:r w:rsidR="003F3852">
        <w:rPr>
          <w:rFonts w:ascii="Bookman Old Style" w:hAnsi="Bookman Old Style"/>
          <w:szCs w:val="24"/>
        </w:rPr>
        <w:t>.</w:t>
      </w:r>
      <w:r w:rsidR="003F3852">
        <w:rPr>
          <w:rFonts w:ascii="Bookman Old Style" w:hAnsi="Bookman Old Style"/>
          <w:szCs w:val="24"/>
        </w:rPr>
        <w:t xml:space="preserve"> The penalties of AS 23.20.379 are appropriate in this case. </w:t>
      </w:r>
    </w:p>
    <w:p w14:paraId="32108235" w14:textId="77777777" w:rsidR="008279E0" w:rsidRDefault="008279E0" w:rsidP="00FB77CC">
      <w:pPr>
        <w:tabs>
          <w:tab w:val="left" w:pos="-1440"/>
          <w:tab w:val="left" w:pos="-720"/>
        </w:tabs>
        <w:suppressAutoHyphens/>
        <w:jc w:val="center"/>
        <w:rPr>
          <w:rFonts w:ascii="Bookman Old Style" w:hAnsi="Bookman Old Style"/>
          <w:szCs w:val="24"/>
        </w:rPr>
      </w:pPr>
    </w:p>
    <w:p w14:paraId="22803ADA" w14:textId="5D521C32"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39742C16" w14:textId="77777777" w:rsidR="00FB77CC" w:rsidRDefault="00FB77CC" w:rsidP="00FB77CC">
      <w:pPr>
        <w:tabs>
          <w:tab w:val="left" w:pos="-1440"/>
          <w:tab w:val="left" w:pos="-720"/>
        </w:tabs>
        <w:suppressAutoHyphens/>
        <w:ind w:right="-360"/>
        <w:rPr>
          <w:rFonts w:ascii="Bookman Old Style" w:hAnsi="Bookman Old Style"/>
        </w:rPr>
      </w:pPr>
    </w:p>
    <w:p w14:paraId="38CC1B2A" w14:textId="575C8945" w:rsidR="00FB77CC" w:rsidRDefault="003F3852"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Pr>
          <w:rFonts w:ascii="Bookman Old Style" w:hAnsi="Bookman Old Style"/>
          <w:szCs w:val="24"/>
        </w:rPr>
        <w:t xml:space="preserve">January 19, </w:t>
      </w:r>
      <w:proofErr w:type="gramStart"/>
      <w:r>
        <w:rPr>
          <w:rFonts w:ascii="Bookman Old Style" w:hAnsi="Bookman Old Style"/>
          <w:szCs w:val="24"/>
        </w:rPr>
        <w:t>2023</w:t>
      </w:r>
      <w:proofErr w:type="gramEnd"/>
      <w:r w:rsidRPr="00E1431E">
        <w:rPr>
          <w:rFonts w:ascii="Bookman Old Style" w:hAnsi="Bookman Old Style"/>
        </w:rPr>
        <w:t xml:space="preserve"> is </w:t>
      </w:r>
      <w:r>
        <w:rPr>
          <w:rFonts w:ascii="Bookman Old Style" w:hAnsi="Bookman Old Style"/>
          <w:b/>
          <w:szCs w:val="24"/>
        </w:rPr>
        <w:t>AFFIRMED</w:t>
      </w:r>
      <w:r w:rsidR="00FB77CC" w:rsidRPr="00E1431E">
        <w:rPr>
          <w:rFonts w:ascii="Bookman Old Style" w:hAnsi="Bookman Old Style"/>
          <w:b/>
        </w:rPr>
        <w:t xml:space="preserve">. </w:t>
      </w:r>
      <w:r w:rsidR="00FB77CC" w:rsidRPr="00E1431E">
        <w:rPr>
          <w:rFonts w:ascii="Bookman Old Style" w:hAnsi="Bookman Old Style"/>
        </w:rPr>
        <w:t xml:space="preserve">Benefits </w:t>
      </w:r>
      <w:r>
        <w:rPr>
          <w:rFonts w:ascii="Bookman Old Style" w:hAnsi="Bookman Old Style"/>
        </w:rPr>
        <w:t>remain</w:t>
      </w:r>
      <w:r w:rsidR="00FB77CC" w:rsidRPr="00E1431E">
        <w:rPr>
          <w:rFonts w:ascii="Bookman Old Style" w:hAnsi="Bookman Old Style"/>
        </w:rPr>
        <w:t xml:space="preserve"> </w:t>
      </w:r>
      <w:r w:rsidR="00FB77CC" w:rsidRPr="00FB77CC">
        <w:rPr>
          <w:rFonts w:ascii="Bookman Old Style" w:hAnsi="Bookman Old Style"/>
          <w:b/>
        </w:rPr>
        <w:t>DENIED</w:t>
      </w:r>
      <w:r w:rsidR="00FB77CC" w:rsidRPr="00DC77EC">
        <w:rPr>
          <w:rFonts w:ascii="Bookman Old Style" w:hAnsi="Bookman Old Style"/>
        </w:rPr>
        <w:t xml:space="preserve"> </w:t>
      </w:r>
      <w:r w:rsidR="00FB77CC" w:rsidRPr="00E1431E">
        <w:rPr>
          <w:rFonts w:ascii="Bookman Old Style" w:hAnsi="Bookman Old Style"/>
        </w:rPr>
        <w:t xml:space="preserve">for the weeks ending </w:t>
      </w:r>
      <w:r>
        <w:rPr>
          <w:rFonts w:ascii="Bookman Old Style" w:hAnsi="Bookman Old Style"/>
          <w:szCs w:val="24"/>
        </w:rPr>
        <w:t xml:space="preserve">January 14, </w:t>
      </w:r>
      <w:proofErr w:type="gramStart"/>
      <w:r>
        <w:rPr>
          <w:rFonts w:ascii="Bookman Old Style" w:hAnsi="Bookman Old Style"/>
          <w:szCs w:val="24"/>
        </w:rPr>
        <w:t>2023</w:t>
      </w:r>
      <w:proofErr w:type="gramEnd"/>
      <w:r>
        <w:rPr>
          <w:rFonts w:ascii="Bookman Old Style" w:hAnsi="Bookman Old Style"/>
          <w:szCs w:val="24"/>
        </w:rPr>
        <w:t xml:space="preserve"> through February 18, 2023</w:t>
      </w:r>
      <w:r w:rsidR="00FB77CC" w:rsidRPr="00E1431E">
        <w:rPr>
          <w:rFonts w:ascii="Bookman Old Style" w:hAnsi="Bookman Old Style"/>
        </w:rPr>
        <w:t xml:space="preserve">. The three weeks </w:t>
      </w:r>
      <w:r>
        <w:rPr>
          <w:rFonts w:ascii="Bookman Old Style" w:hAnsi="Bookman Old Style"/>
        </w:rPr>
        <w:t>remain</w:t>
      </w:r>
      <w:r w:rsidR="00FB77CC" w:rsidRPr="00E1431E">
        <w:rPr>
          <w:rFonts w:ascii="Bookman Old Style" w:hAnsi="Bookman Old Style"/>
        </w:rPr>
        <w:t xml:space="preserve"> </w:t>
      </w:r>
      <w:r w:rsidR="00FB77CC">
        <w:rPr>
          <w:rFonts w:ascii="Bookman Old Style" w:hAnsi="Bookman Old Style"/>
        </w:rPr>
        <w:t>reduced from the claimant’s</w:t>
      </w:r>
      <w:r w:rsidR="00FB77CC" w:rsidRPr="00E1431E">
        <w:rPr>
          <w:rFonts w:ascii="Bookman Old Style" w:hAnsi="Bookman Old Style"/>
        </w:rPr>
        <w:t xml:space="preserve"> maximum benefits. </w:t>
      </w:r>
      <w:r w:rsidR="00FB77CC">
        <w:rPr>
          <w:rFonts w:ascii="Bookman Old Style" w:hAnsi="Bookman Old Style"/>
        </w:rPr>
        <w:t>The claimant may not be eligible</w:t>
      </w:r>
      <w:r w:rsidR="00FB77CC" w:rsidRPr="00E1431E">
        <w:rPr>
          <w:rFonts w:ascii="Bookman Old Style" w:hAnsi="Bookman Old Style"/>
        </w:rPr>
        <w:t xml:space="preserve"> for extended benefits</w:t>
      </w:r>
      <w:r w:rsidR="00FB77CC" w:rsidRPr="00331D25">
        <w:rPr>
          <w:rFonts w:ascii="Bookman Old Style" w:hAnsi="Bookman Old Style"/>
        </w:rPr>
        <w:t xml:space="preserve"> </w:t>
      </w:r>
      <w:r w:rsidR="00FB77CC">
        <w:rPr>
          <w:rFonts w:ascii="Bookman Old Style" w:hAnsi="Bookman Old Style"/>
        </w:rPr>
        <w:t>under AS 23.20.406-409.</w:t>
      </w:r>
    </w:p>
    <w:p w14:paraId="093AE590" w14:textId="77777777" w:rsidR="00FB77CC" w:rsidRDefault="00FB77CC" w:rsidP="00FB77CC"/>
    <w:p w14:paraId="33858DD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59F6AB7"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6FCDC0C0"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3687086"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8B19861" w14:textId="77777777" w:rsidR="0016206D" w:rsidRPr="00FB77CC" w:rsidRDefault="0016206D" w:rsidP="00FB77CC">
      <w:pPr>
        <w:tabs>
          <w:tab w:val="left" w:pos="-1440"/>
          <w:tab w:val="left" w:pos="-720"/>
        </w:tabs>
        <w:suppressAutoHyphens/>
        <w:rPr>
          <w:rFonts w:ascii="Bookman Old Style" w:hAnsi="Bookman Old Style"/>
          <w:szCs w:val="24"/>
        </w:rPr>
      </w:pPr>
    </w:p>
    <w:p w14:paraId="702F7097" w14:textId="71EFFD12"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3F3852">
        <w:rPr>
          <w:rFonts w:ascii="Bookman Old Style" w:hAnsi="Bookman Old Style"/>
          <w:szCs w:val="24"/>
        </w:rPr>
        <w:t>March 21, 2023</w:t>
      </w:r>
      <w:r w:rsidR="0016206D" w:rsidRPr="00FB77CC">
        <w:rPr>
          <w:rFonts w:ascii="Bookman Old Style" w:hAnsi="Bookman Old Style"/>
          <w:szCs w:val="24"/>
        </w:rPr>
        <w:t>.</w:t>
      </w:r>
    </w:p>
    <w:p w14:paraId="66FF4943" w14:textId="77777777" w:rsidR="0016206D" w:rsidRPr="00FB77CC" w:rsidRDefault="0016206D" w:rsidP="00FB77CC">
      <w:pPr>
        <w:tabs>
          <w:tab w:val="left" w:pos="-1440"/>
          <w:tab w:val="left" w:pos="-720"/>
        </w:tabs>
        <w:suppressAutoHyphens/>
        <w:rPr>
          <w:rFonts w:ascii="Bookman Old Style" w:hAnsi="Bookman Old Style"/>
          <w:szCs w:val="24"/>
        </w:rPr>
      </w:pPr>
    </w:p>
    <w:p w14:paraId="6AAA8BA5"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2BBC1FE5" w14:textId="77777777" w:rsidR="005E68FF" w:rsidRPr="00FB77CC" w:rsidRDefault="005E68FF" w:rsidP="00FB77CC">
      <w:pPr>
        <w:tabs>
          <w:tab w:val="left" w:pos="-1440"/>
          <w:tab w:val="left" w:pos="-720"/>
        </w:tabs>
        <w:suppressAutoHyphens/>
        <w:rPr>
          <w:rFonts w:ascii="Bookman Old Style" w:hAnsi="Bookman Old Style"/>
          <w:szCs w:val="24"/>
        </w:rPr>
      </w:pPr>
    </w:p>
    <w:p w14:paraId="6B205DB2" w14:textId="77777777" w:rsidR="005E68FF" w:rsidRPr="00FB77CC" w:rsidRDefault="005E68FF" w:rsidP="00FB77CC">
      <w:pPr>
        <w:tabs>
          <w:tab w:val="left" w:pos="-1440"/>
          <w:tab w:val="left" w:pos="-720"/>
        </w:tabs>
        <w:suppressAutoHyphens/>
        <w:rPr>
          <w:rFonts w:ascii="Bookman Old Style" w:hAnsi="Bookman Old Style"/>
          <w:szCs w:val="24"/>
        </w:rPr>
      </w:pPr>
    </w:p>
    <w:p w14:paraId="53B756C5" w14:textId="24E34CAA"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3F3852">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81D3" w14:textId="77777777" w:rsidR="00D74F7C" w:rsidRDefault="00D74F7C">
      <w:pPr>
        <w:widowControl/>
        <w:spacing w:line="20" w:lineRule="exact"/>
      </w:pPr>
    </w:p>
  </w:endnote>
  <w:endnote w:type="continuationSeparator" w:id="0">
    <w:p w14:paraId="6E1BCA30" w14:textId="77777777" w:rsidR="00D74F7C" w:rsidRDefault="00D74F7C">
      <w:r>
        <w:t xml:space="preserve"> </w:t>
      </w:r>
    </w:p>
  </w:endnote>
  <w:endnote w:type="continuationNotice" w:id="1">
    <w:p w14:paraId="1A28A0C8" w14:textId="77777777" w:rsidR="00D74F7C" w:rsidRDefault="00D74F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558F" w14:textId="77777777" w:rsidR="00D74F7C" w:rsidRDefault="00D74F7C">
      <w:r>
        <w:separator/>
      </w:r>
    </w:p>
  </w:footnote>
  <w:footnote w:type="continuationSeparator" w:id="0">
    <w:p w14:paraId="058AB8D0" w14:textId="77777777" w:rsidR="00D74F7C" w:rsidRDefault="00D7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F77" w14:textId="7484B732"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2D002F">
      <w:rPr>
        <w:rFonts w:ascii="Bookman Old Style" w:hAnsi="Bookman Old Style"/>
      </w:rPr>
      <w:t>23 0065</w:t>
    </w:r>
  </w:p>
  <w:p w14:paraId="707FBB8C"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6F4AE976"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6C303083"/>
    <w:multiLevelType w:val="hybridMultilevel"/>
    <w:tmpl w:val="FCB07B16"/>
    <w:lvl w:ilvl="0" w:tplc="5FB4D0C6">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6722963">
    <w:abstractNumId w:val="0"/>
  </w:num>
  <w:num w:numId="2" w16cid:durableId="109806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7C"/>
    <w:rsid w:val="00015E49"/>
    <w:rsid w:val="000421BE"/>
    <w:rsid w:val="00074ABC"/>
    <w:rsid w:val="000B1B0E"/>
    <w:rsid w:val="000C468C"/>
    <w:rsid w:val="0016206D"/>
    <w:rsid w:val="00184E40"/>
    <w:rsid w:val="001A7E8E"/>
    <w:rsid w:val="001E566D"/>
    <w:rsid w:val="00246F0A"/>
    <w:rsid w:val="002C0A6B"/>
    <w:rsid w:val="002D002F"/>
    <w:rsid w:val="0030752B"/>
    <w:rsid w:val="003330EC"/>
    <w:rsid w:val="0037410D"/>
    <w:rsid w:val="003A08AE"/>
    <w:rsid w:val="003F3852"/>
    <w:rsid w:val="003F54EA"/>
    <w:rsid w:val="00414E35"/>
    <w:rsid w:val="00454952"/>
    <w:rsid w:val="004B1E78"/>
    <w:rsid w:val="004B6BD9"/>
    <w:rsid w:val="00527085"/>
    <w:rsid w:val="005840C2"/>
    <w:rsid w:val="005A25FF"/>
    <w:rsid w:val="005D69D2"/>
    <w:rsid w:val="005E68FF"/>
    <w:rsid w:val="006E4A6A"/>
    <w:rsid w:val="006E67C4"/>
    <w:rsid w:val="007264A1"/>
    <w:rsid w:val="00803703"/>
    <w:rsid w:val="008279E0"/>
    <w:rsid w:val="009312D8"/>
    <w:rsid w:val="00965B24"/>
    <w:rsid w:val="00A775FC"/>
    <w:rsid w:val="00A94C46"/>
    <w:rsid w:val="00AC29BB"/>
    <w:rsid w:val="00AC4900"/>
    <w:rsid w:val="00BE5A90"/>
    <w:rsid w:val="00C12590"/>
    <w:rsid w:val="00C841ED"/>
    <w:rsid w:val="00CB34CC"/>
    <w:rsid w:val="00D1304C"/>
    <w:rsid w:val="00D254B5"/>
    <w:rsid w:val="00D74F7C"/>
    <w:rsid w:val="00DE12B1"/>
    <w:rsid w:val="00DF3786"/>
    <w:rsid w:val="00E1431E"/>
    <w:rsid w:val="00E1587B"/>
    <w:rsid w:val="00E20135"/>
    <w:rsid w:val="00E460EE"/>
    <w:rsid w:val="00E660C4"/>
    <w:rsid w:val="00F1165F"/>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35D4E7"/>
  <w15:chartTrackingRefBased/>
  <w15:docId w15:val="{0F7FBF34-347C-4E5E-A728-321AB9E5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10</TotalTime>
  <Pages>4</Pages>
  <Words>1175</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2023-03-21T23:20:00Z</cp:lastPrinted>
  <dcterms:created xsi:type="dcterms:W3CDTF">2023-03-21T23:20:00Z</dcterms:created>
  <dcterms:modified xsi:type="dcterms:W3CDTF">2023-03-21T23:20:00Z</dcterms:modified>
</cp:coreProperties>
</file>