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1208" w14:textId="1079343C" w:rsidR="00EB0E9D" w:rsidRPr="00D82DF6" w:rsidRDefault="00661CC4"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3AACE480" wp14:editId="5911871C">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53396E48"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D48B4E5"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9508EE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28637D6"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218EE5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17DA65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C639D7D" w14:textId="77777777" w:rsidR="00EB0E9D" w:rsidRPr="00D82DF6" w:rsidRDefault="00EB0E9D" w:rsidP="00D82DF6">
      <w:pPr>
        <w:widowControl/>
        <w:tabs>
          <w:tab w:val="left" w:pos="-720"/>
        </w:tabs>
        <w:suppressAutoHyphens/>
        <w:rPr>
          <w:rFonts w:ascii="Bookman Old Style" w:hAnsi="Bookman Old Style"/>
          <w:szCs w:val="24"/>
        </w:rPr>
      </w:pPr>
    </w:p>
    <w:p w14:paraId="149DB9AD"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01E8DFAB" w14:textId="77777777" w:rsidR="005A281D" w:rsidRPr="00D82DF6" w:rsidRDefault="005A281D" w:rsidP="00D82DF6">
      <w:pPr>
        <w:widowControl/>
        <w:tabs>
          <w:tab w:val="left" w:pos="-720"/>
        </w:tabs>
        <w:suppressAutoHyphens/>
        <w:rPr>
          <w:rFonts w:ascii="Bookman Old Style" w:hAnsi="Bookman Old Style"/>
          <w:szCs w:val="24"/>
        </w:rPr>
      </w:pPr>
    </w:p>
    <w:p w14:paraId="5DD950FA" w14:textId="1C970787"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E973F3">
        <w:rPr>
          <w:rFonts w:ascii="Bookman Old Style" w:hAnsi="Bookman Old Style"/>
          <w:szCs w:val="24"/>
        </w:rPr>
        <w:t>23 015</w:t>
      </w:r>
      <w:r w:rsidR="00071DE6">
        <w:rPr>
          <w:rFonts w:ascii="Bookman Old Style" w:hAnsi="Bookman Old Style"/>
          <w:szCs w:val="24"/>
        </w:rPr>
        <w:t>1</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E973F3">
        <w:rPr>
          <w:rFonts w:ascii="Bookman Old Style" w:hAnsi="Bookman Old Style"/>
          <w:szCs w:val="24"/>
        </w:rPr>
        <w:t>March 17, 2023</w:t>
      </w:r>
    </w:p>
    <w:p w14:paraId="750466F4"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44EE9135" w14:textId="77777777" w:rsidR="00441439" w:rsidRPr="00D82DF6" w:rsidRDefault="00441439" w:rsidP="00E973F3">
      <w:pPr>
        <w:widowControl/>
        <w:tabs>
          <w:tab w:val="left" w:pos="-1440"/>
          <w:tab w:val="left" w:pos="-720"/>
          <w:tab w:val="left" w:pos="0"/>
          <w:tab w:val="left" w:pos="4950"/>
          <w:tab w:val="left" w:pos="522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0F456DC2" w14:textId="77777777" w:rsidR="00441439" w:rsidRPr="00D82DF6" w:rsidRDefault="00441439" w:rsidP="00E973F3">
      <w:pPr>
        <w:widowControl/>
        <w:tabs>
          <w:tab w:val="left" w:pos="-1440"/>
          <w:tab w:val="left" w:pos="-720"/>
          <w:tab w:val="left" w:pos="0"/>
          <w:tab w:val="left" w:pos="4950"/>
          <w:tab w:val="left" w:pos="5220"/>
        </w:tabs>
        <w:suppressAutoHyphens/>
        <w:ind w:right="-360"/>
        <w:rPr>
          <w:rFonts w:ascii="Bookman Old Style" w:hAnsi="Bookman Old Style"/>
          <w:szCs w:val="24"/>
        </w:rPr>
      </w:pPr>
    </w:p>
    <w:p w14:paraId="069B8FB2" w14:textId="43B8FCAA" w:rsidR="00E973F3" w:rsidRPr="00E973F3" w:rsidRDefault="00E973F3" w:rsidP="00E973F3">
      <w:pPr>
        <w:widowControl/>
        <w:tabs>
          <w:tab w:val="left" w:pos="-1440"/>
          <w:tab w:val="left" w:pos="-720"/>
          <w:tab w:val="left" w:pos="0"/>
          <w:tab w:val="left" w:pos="4950"/>
          <w:tab w:val="left" w:pos="5220"/>
        </w:tabs>
        <w:suppressAutoHyphens/>
        <w:ind w:right="-360"/>
        <w:rPr>
          <w:rFonts w:ascii="Bookman Old Style" w:hAnsi="Bookman Old Style"/>
          <w:szCs w:val="24"/>
        </w:rPr>
      </w:pPr>
      <w:r w:rsidRPr="00E973F3">
        <w:rPr>
          <w:rFonts w:ascii="Bookman Old Style" w:hAnsi="Bookman Old Style"/>
          <w:szCs w:val="24"/>
        </w:rPr>
        <w:t>KIM WEVER</w:t>
      </w:r>
      <w:r>
        <w:rPr>
          <w:rFonts w:ascii="Bookman Old Style" w:hAnsi="Bookman Old Style"/>
          <w:szCs w:val="24"/>
        </w:rPr>
        <w:tab/>
        <w:t>HOST INTERNATIONAL</w:t>
      </w:r>
      <w:r w:rsidR="0059604A">
        <w:rPr>
          <w:rFonts w:ascii="Bookman Old Style" w:hAnsi="Bookman Old Style"/>
          <w:szCs w:val="24"/>
        </w:rPr>
        <w:t xml:space="preserve"> -</w:t>
      </w:r>
      <w:r>
        <w:rPr>
          <w:rFonts w:ascii="Bookman Old Style" w:hAnsi="Bookman Old Style"/>
          <w:szCs w:val="24"/>
        </w:rPr>
        <w:t xml:space="preserve"> ANCHORAGE</w:t>
      </w:r>
    </w:p>
    <w:p w14:paraId="18E44342" w14:textId="68173430" w:rsidR="00E973F3" w:rsidRPr="00E973F3" w:rsidRDefault="00661CC4" w:rsidP="00E973F3">
      <w:pPr>
        <w:widowControl/>
        <w:tabs>
          <w:tab w:val="left" w:pos="-1440"/>
          <w:tab w:val="left" w:pos="-720"/>
          <w:tab w:val="left" w:pos="0"/>
          <w:tab w:val="left" w:pos="4950"/>
          <w:tab w:val="left" w:pos="5220"/>
        </w:tabs>
        <w:suppressAutoHyphens/>
        <w:ind w:right="-360"/>
        <w:rPr>
          <w:rFonts w:ascii="Bookman Old Style" w:hAnsi="Bookman Old Style"/>
          <w:szCs w:val="24"/>
        </w:rPr>
      </w:pPr>
      <w:r>
        <w:rPr>
          <w:rFonts w:ascii="Bookman Old Style" w:hAnsi="Bookman Old Style"/>
          <w:szCs w:val="24"/>
        </w:rPr>
        <w:tab/>
      </w:r>
      <w:r w:rsidR="00E973F3">
        <w:rPr>
          <w:rFonts w:ascii="Bookman Old Style" w:hAnsi="Bookman Old Style"/>
          <w:szCs w:val="24"/>
        </w:rPr>
        <w:t>INTERNATIONAL AIRPORT SNACKBAR</w:t>
      </w:r>
    </w:p>
    <w:p w14:paraId="3CFC7ACE" w14:textId="5D3A1603" w:rsidR="00441439" w:rsidRDefault="00441439" w:rsidP="00E973F3">
      <w:pPr>
        <w:widowControl/>
        <w:tabs>
          <w:tab w:val="left" w:pos="-1440"/>
          <w:tab w:val="left" w:pos="-720"/>
          <w:tab w:val="left" w:pos="0"/>
          <w:tab w:val="left" w:pos="4950"/>
          <w:tab w:val="left" w:pos="5220"/>
        </w:tabs>
        <w:suppressAutoHyphens/>
        <w:ind w:right="-360"/>
        <w:rPr>
          <w:rFonts w:ascii="Bookman Old Style" w:hAnsi="Bookman Old Style"/>
          <w:szCs w:val="24"/>
        </w:rPr>
      </w:pPr>
    </w:p>
    <w:p w14:paraId="186B659B" w14:textId="6B25B017" w:rsidR="00661CC4" w:rsidRDefault="00661CC4" w:rsidP="00E973F3">
      <w:pPr>
        <w:widowControl/>
        <w:tabs>
          <w:tab w:val="left" w:pos="-1440"/>
          <w:tab w:val="left" w:pos="-720"/>
          <w:tab w:val="left" w:pos="0"/>
          <w:tab w:val="left" w:pos="4950"/>
          <w:tab w:val="left" w:pos="5220"/>
        </w:tabs>
        <w:suppressAutoHyphens/>
        <w:ind w:right="-360"/>
        <w:rPr>
          <w:rFonts w:ascii="Bookman Old Style" w:hAnsi="Bookman Old Style"/>
          <w:szCs w:val="24"/>
        </w:rPr>
      </w:pPr>
    </w:p>
    <w:p w14:paraId="1FE158D2" w14:textId="23192A83" w:rsidR="00661CC4" w:rsidRDefault="00661CC4" w:rsidP="00E973F3">
      <w:pPr>
        <w:widowControl/>
        <w:tabs>
          <w:tab w:val="left" w:pos="-1440"/>
          <w:tab w:val="left" w:pos="-720"/>
          <w:tab w:val="left" w:pos="0"/>
          <w:tab w:val="left" w:pos="4950"/>
          <w:tab w:val="left" w:pos="5220"/>
        </w:tabs>
        <w:suppressAutoHyphens/>
        <w:ind w:right="-360"/>
        <w:rPr>
          <w:rFonts w:ascii="Bookman Old Style" w:hAnsi="Bookman Old Style"/>
          <w:szCs w:val="24"/>
        </w:rPr>
      </w:pPr>
    </w:p>
    <w:p w14:paraId="17809C3D" w14:textId="77777777" w:rsidR="00661CC4" w:rsidRPr="00D82DF6" w:rsidRDefault="00661CC4" w:rsidP="00E973F3">
      <w:pPr>
        <w:widowControl/>
        <w:tabs>
          <w:tab w:val="left" w:pos="-1440"/>
          <w:tab w:val="left" w:pos="-720"/>
          <w:tab w:val="left" w:pos="0"/>
          <w:tab w:val="left" w:pos="4950"/>
          <w:tab w:val="left" w:pos="5220"/>
        </w:tabs>
        <w:suppressAutoHyphens/>
        <w:ind w:right="-360"/>
        <w:rPr>
          <w:rFonts w:ascii="Bookman Old Style" w:hAnsi="Bookman Old Style"/>
          <w:szCs w:val="24"/>
        </w:rPr>
      </w:pPr>
    </w:p>
    <w:p w14:paraId="3D00182A" w14:textId="77777777" w:rsidR="00441439" w:rsidRPr="00D82DF6" w:rsidRDefault="00441439" w:rsidP="00E973F3">
      <w:pPr>
        <w:widowControl/>
        <w:tabs>
          <w:tab w:val="left" w:pos="-1440"/>
          <w:tab w:val="left" w:pos="-720"/>
          <w:tab w:val="left" w:pos="0"/>
          <w:tab w:val="left" w:pos="4950"/>
          <w:tab w:val="left" w:pos="522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47ABC93E" w14:textId="77777777" w:rsidR="00441439" w:rsidRPr="00D82DF6" w:rsidRDefault="00441439" w:rsidP="00E973F3">
      <w:pPr>
        <w:widowControl/>
        <w:tabs>
          <w:tab w:val="left" w:pos="-1440"/>
          <w:tab w:val="left" w:pos="-720"/>
          <w:tab w:val="left" w:pos="0"/>
          <w:tab w:val="left" w:pos="4950"/>
          <w:tab w:val="left" w:pos="5220"/>
        </w:tabs>
        <w:suppressAutoHyphens/>
        <w:ind w:right="-360"/>
        <w:rPr>
          <w:rFonts w:ascii="Bookman Old Style" w:hAnsi="Bookman Old Style"/>
          <w:szCs w:val="24"/>
        </w:rPr>
      </w:pPr>
    </w:p>
    <w:p w14:paraId="24541C07" w14:textId="6922F242" w:rsidR="00441439" w:rsidRPr="00D82DF6" w:rsidRDefault="00E973F3" w:rsidP="00E973F3">
      <w:pPr>
        <w:widowControl/>
        <w:tabs>
          <w:tab w:val="left" w:pos="-1440"/>
          <w:tab w:val="left" w:pos="-720"/>
          <w:tab w:val="left" w:pos="0"/>
          <w:tab w:val="left" w:pos="4950"/>
          <w:tab w:val="left" w:pos="5220"/>
        </w:tabs>
        <w:suppressAutoHyphens/>
        <w:ind w:right="-360"/>
        <w:rPr>
          <w:rFonts w:ascii="Bookman Old Style" w:hAnsi="Bookman Old Style"/>
          <w:szCs w:val="24"/>
        </w:rPr>
      </w:pPr>
      <w:r>
        <w:rPr>
          <w:rFonts w:ascii="Bookman Old Style" w:hAnsi="Bookman Old Style"/>
          <w:szCs w:val="24"/>
        </w:rPr>
        <w:t>Kim Wever</w:t>
      </w:r>
      <w:r w:rsidR="00441439" w:rsidRPr="00D82DF6">
        <w:rPr>
          <w:rFonts w:ascii="Bookman Old Style" w:hAnsi="Bookman Old Style"/>
          <w:szCs w:val="24"/>
        </w:rPr>
        <w:tab/>
      </w:r>
      <w:r>
        <w:rPr>
          <w:rFonts w:ascii="Bookman Old Style" w:hAnsi="Bookman Old Style"/>
          <w:szCs w:val="24"/>
        </w:rPr>
        <w:t xml:space="preserve">None </w:t>
      </w:r>
    </w:p>
    <w:p w14:paraId="30C7C693"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7B19BA7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25141305" w14:textId="77777777" w:rsidR="00441439" w:rsidRPr="00D82DF6" w:rsidRDefault="00441439" w:rsidP="00D82DF6">
      <w:pPr>
        <w:tabs>
          <w:tab w:val="left" w:pos="-1440"/>
          <w:tab w:val="left" w:pos="-720"/>
        </w:tabs>
        <w:rPr>
          <w:rFonts w:ascii="Bookman Old Style" w:hAnsi="Bookman Old Style"/>
          <w:szCs w:val="24"/>
        </w:rPr>
      </w:pPr>
    </w:p>
    <w:p w14:paraId="0E2A76EB" w14:textId="41408DE2"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E973F3">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E973F3">
        <w:rPr>
          <w:rFonts w:ascii="Bookman Old Style" w:hAnsi="Bookman Old Style"/>
          <w:snapToGrid/>
          <w:szCs w:val="24"/>
        </w:rPr>
        <w:t>February 3, 2023</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0E20CF85"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1BC5D2FF" w14:textId="77777777" w:rsidR="00441439" w:rsidRPr="00D82DF6" w:rsidRDefault="00441439" w:rsidP="00D82DF6">
      <w:pPr>
        <w:tabs>
          <w:tab w:val="left" w:pos="-1440"/>
          <w:tab w:val="left" w:pos="-720"/>
        </w:tabs>
        <w:rPr>
          <w:rFonts w:ascii="Bookman Old Style" w:hAnsi="Bookman Old Style"/>
          <w:szCs w:val="24"/>
        </w:rPr>
      </w:pPr>
    </w:p>
    <w:p w14:paraId="161D91E3" w14:textId="7D15BAA8" w:rsidR="00D82DF6"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A67202">
        <w:rPr>
          <w:rFonts w:ascii="Bookman Old Style" w:hAnsi="Bookman Old Style"/>
          <w:snapToGrid/>
          <w:szCs w:val="24"/>
        </w:rPr>
        <w:t>in June 2022</w:t>
      </w:r>
      <w:r w:rsidRPr="00D82DF6">
        <w:rPr>
          <w:rFonts w:ascii="Bookman Old Style" w:hAnsi="Bookman Old Style"/>
          <w:snapToGrid/>
          <w:szCs w:val="24"/>
        </w:rPr>
        <w:t xml:space="preserve">. </w:t>
      </w:r>
      <w:r w:rsidR="00A67202">
        <w:rPr>
          <w:rFonts w:ascii="Bookman Old Style" w:hAnsi="Bookman Old Style"/>
          <w:snapToGrid/>
          <w:szCs w:val="24"/>
        </w:rPr>
        <w:t>She</w:t>
      </w:r>
      <w:r w:rsidRPr="00D82DF6">
        <w:rPr>
          <w:rFonts w:ascii="Bookman Old Style" w:hAnsi="Bookman Old Style"/>
          <w:snapToGrid/>
          <w:szCs w:val="24"/>
        </w:rPr>
        <w:t xml:space="preserve"> last worked on </w:t>
      </w:r>
      <w:r w:rsidR="00A67202">
        <w:rPr>
          <w:rFonts w:ascii="Bookman Old Style" w:hAnsi="Bookman Old Style"/>
          <w:snapToGrid/>
          <w:szCs w:val="24"/>
        </w:rPr>
        <w:t>December 8, 2022</w:t>
      </w:r>
      <w:r w:rsidRPr="00D82DF6">
        <w:rPr>
          <w:rFonts w:ascii="Bookman Old Style" w:hAnsi="Bookman Old Style"/>
          <w:snapToGrid/>
          <w:szCs w:val="24"/>
        </w:rPr>
        <w:t xml:space="preserve">. At that time, </w:t>
      </w:r>
      <w:r w:rsidR="00A67202">
        <w:rPr>
          <w:rFonts w:ascii="Bookman Old Style" w:hAnsi="Bookman Old Style"/>
          <w:snapToGrid/>
          <w:szCs w:val="24"/>
        </w:rPr>
        <w:t>she</w:t>
      </w:r>
      <w:r w:rsidRPr="00D82DF6">
        <w:rPr>
          <w:rFonts w:ascii="Bookman Old Style" w:hAnsi="Bookman Old Style"/>
          <w:snapToGrid/>
          <w:szCs w:val="24"/>
        </w:rPr>
        <w:t xml:space="preserve"> worked </w:t>
      </w:r>
      <w:r w:rsidR="00A67202">
        <w:rPr>
          <w:rFonts w:ascii="Bookman Old Style" w:hAnsi="Bookman Old Style"/>
          <w:snapToGrid/>
          <w:szCs w:val="24"/>
        </w:rPr>
        <w:t>full-time</w:t>
      </w:r>
      <w:r w:rsidRPr="00D82DF6">
        <w:rPr>
          <w:rFonts w:ascii="Bookman Old Style" w:hAnsi="Bookman Old Style"/>
          <w:snapToGrid/>
          <w:szCs w:val="24"/>
        </w:rPr>
        <w:t xml:space="preserve"> as a </w:t>
      </w:r>
      <w:r w:rsidR="00A67202">
        <w:rPr>
          <w:rFonts w:ascii="Bookman Old Style" w:hAnsi="Bookman Old Style"/>
          <w:snapToGrid/>
          <w:szCs w:val="24"/>
        </w:rPr>
        <w:t>general manager</w:t>
      </w:r>
      <w:r w:rsidRPr="00D82DF6">
        <w:rPr>
          <w:rFonts w:ascii="Bookman Old Style" w:hAnsi="Bookman Old Style"/>
          <w:snapToGrid/>
          <w:szCs w:val="24"/>
        </w:rPr>
        <w:t>.</w:t>
      </w:r>
    </w:p>
    <w:p w14:paraId="706F09A7" w14:textId="2D8B26D3" w:rsidR="00516602" w:rsidRDefault="00A6720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When the claimant started work, she was responsible for the hiring process for staff in the three airport restaurants she managed.  After a change in </w:t>
      </w:r>
      <w:r w:rsidR="0059604A">
        <w:rPr>
          <w:rFonts w:ascii="Bookman Old Style" w:hAnsi="Bookman Old Style"/>
          <w:snapToGrid/>
          <w:szCs w:val="24"/>
        </w:rPr>
        <w:t>process</w:t>
      </w:r>
      <w:r>
        <w:rPr>
          <w:rFonts w:ascii="Bookman Old Style" w:hAnsi="Bookman Old Style"/>
          <w:snapToGrid/>
          <w:szCs w:val="24"/>
        </w:rPr>
        <w:t xml:space="preserve">, the claimant was only to interview potential workers, and a specific human resources </w:t>
      </w:r>
      <w:r w:rsidR="00516602">
        <w:rPr>
          <w:rFonts w:ascii="Bookman Old Style" w:hAnsi="Bookman Old Style"/>
          <w:snapToGrid/>
          <w:szCs w:val="24"/>
        </w:rPr>
        <w:t>staff member</w:t>
      </w:r>
      <w:r>
        <w:rPr>
          <w:rFonts w:ascii="Bookman Old Style" w:hAnsi="Bookman Old Style"/>
          <w:snapToGrid/>
          <w:szCs w:val="24"/>
        </w:rPr>
        <w:t xml:space="preserve"> would complete the hiring process.</w:t>
      </w:r>
      <w:r w:rsidR="00516602">
        <w:rPr>
          <w:rFonts w:ascii="Bookman Old Style" w:hAnsi="Bookman Old Style"/>
          <w:snapToGrid/>
          <w:szCs w:val="24"/>
        </w:rPr>
        <w:t xml:space="preserve"> The claimant found the staff member did not follow through</w:t>
      </w:r>
      <w:r w:rsidR="0059604A">
        <w:rPr>
          <w:rFonts w:ascii="Bookman Old Style" w:hAnsi="Bookman Old Style"/>
          <w:snapToGrid/>
          <w:szCs w:val="24"/>
        </w:rPr>
        <w:t xml:space="preserve"> with the process, staff was not hired timely</w:t>
      </w:r>
      <w:r w:rsidR="00516602">
        <w:rPr>
          <w:rFonts w:ascii="Bookman Old Style" w:hAnsi="Bookman Old Style"/>
          <w:snapToGrid/>
          <w:szCs w:val="24"/>
        </w:rPr>
        <w:t xml:space="preserve"> and the claimant became very short-staffed. The </w:t>
      </w:r>
      <w:r w:rsidR="00A545C3">
        <w:rPr>
          <w:rFonts w:ascii="Bookman Old Style" w:hAnsi="Bookman Old Style"/>
          <w:snapToGrid/>
          <w:szCs w:val="24"/>
        </w:rPr>
        <w:t xml:space="preserve">responsible </w:t>
      </w:r>
      <w:r w:rsidR="00516602">
        <w:rPr>
          <w:rFonts w:ascii="Bookman Old Style" w:hAnsi="Bookman Old Style"/>
          <w:snapToGrid/>
          <w:szCs w:val="24"/>
        </w:rPr>
        <w:t>staff member worked only part-time and it was difficult for the claimant to reach her.  When the claimant did speak to the staff member, she made excuses</w:t>
      </w:r>
      <w:r w:rsidR="00E83B1D">
        <w:rPr>
          <w:rFonts w:ascii="Bookman Old Style" w:hAnsi="Bookman Old Style"/>
          <w:snapToGrid/>
          <w:szCs w:val="24"/>
        </w:rPr>
        <w:t xml:space="preserve"> to claimant</w:t>
      </w:r>
      <w:r w:rsidR="00516602">
        <w:rPr>
          <w:rFonts w:ascii="Bookman Old Style" w:hAnsi="Bookman Old Style"/>
          <w:snapToGrid/>
          <w:szCs w:val="24"/>
        </w:rPr>
        <w:t xml:space="preserve"> for her lack of follow through on hiring.</w:t>
      </w:r>
    </w:p>
    <w:p w14:paraId="2835E1F2" w14:textId="0FA00C11" w:rsidR="00FA7114" w:rsidRDefault="00516602" w:rsidP="001A065B">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Because she was so short on </w:t>
      </w:r>
      <w:r w:rsidR="00E83B1D">
        <w:rPr>
          <w:rFonts w:ascii="Bookman Old Style" w:hAnsi="Bookman Old Style"/>
          <w:snapToGrid/>
          <w:szCs w:val="24"/>
        </w:rPr>
        <w:t>workers</w:t>
      </w:r>
      <w:r>
        <w:rPr>
          <w:rFonts w:ascii="Bookman Old Style" w:hAnsi="Bookman Old Style"/>
          <w:snapToGrid/>
          <w:szCs w:val="24"/>
        </w:rPr>
        <w:t>, the claimant was required to work up to 75 hours a week to keep the restaurants open</w:t>
      </w:r>
      <w:r w:rsidR="00FA7114">
        <w:rPr>
          <w:rFonts w:ascii="Bookman Old Style" w:hAnsi="Bookman Old Style"/>
          <w:snapToGrid/>
          <w:szCs w:val="24"/>
        </w:rPr>
        <w:t xml:space="preserve">, although she was </w:t>
      </w:r>
      <w:r w:rsidR="00E83B1D">
        <w:rPr>
          <w:rFonts w:ascii="Bookman Old Style" w:hAnsi="Bookman Old Style"/>
          <w:snapToGrid/>
          <w:szCs w:val="24"/>
        </w:rPr>
        <w:t xml:space="preserve">only </w:t>
      </w:r>
      <w:r w:rsidR="00FA7114">
        <w:rPr>
          <w:rFonts w:ascii="Bookman Old Style" w:hAnsi="Bookman Old Style"/>
          <w:snapToGrid/>
          <w:szCs w:val="24"/>
        </w:rPr>
        <w:t>scheduled to work up to 50 hours per week</w:t>
      </w:r>
      <w:r>
        <w:rPr>
          <w:rFonts w:ascii="Bookman Old Style" w:hAnsi="Bookman Old Style"/>
          <w:snapToGrid/>
          <w:szCs w:val="24"/>
        </w:rPr>
        <w:t xml:space="preserve">. The claimant was not paid for overtime work, but she </w:t>
      </w:r>
      <w:r w:rsidR="00E83B1D">
        <w:rPr>
          <w:rFonts w:ascii="Bookman Old Style" w:hAnsi="Bookman Old Style"/>
          <w:snapToGrid/>
          <w:szCs w:val="24"/>
        </w:rPr>
        <w:t>did earn</w:t>
      </w:r>
      <w:r>
        <w:rPr>
          <w:rFonts w:ascii="Bookman Old Style" w:hAnsi="Bookman Old Style"/>
          <w:snapToGrid/>
          <w:szCs w:val="24"/>
        </w:rPr>
        <w:t xml:space="preserve"> a quarterly bonus for meeting sales go</w:t>
      </w:r>
      <w:r w:rsidR="00A545C3">
        <w:rPr>
          <w:rFonts w:ascii="Bookman Old Style" w:hAnsi="Bookman Old Style"/>
          <w:snapToGrid/>
          <w:szCs w:val="24"/>
        </w:rPr>
        <w:t>or</w:t>
      </w:r>
      <w:r>
        <w:rPr>
          <w:rFonts w:ascii="Bookman Old Style" w:hAnsi="Bookman Old Style"/>
          <w:snapToGrid/>
          <w:szCs w:val="24"/>
        </w:rPr>
        <w:t xml:space="preserve">als. The claimant was given </w:t>
      </w:r>
      <w:r>
        <w:rPr>
          <w:rFonts w:ascii="Bookman Old Style" w:hAnsi="Bookman Old Style"/>
          <w:snapToGrid/>
          <w:szCs w:val="24"/>
        </w:rPr>
        <w:lastRenderedPageBreak/>
        <w:t xml:space="preserve">the goal of implementing a code that could be scanned by </w:t>
      </w:r>
      <w:r w:rsidR="00E83B1D">
        <w:rPr>
          <w:rFonts w:ascii="Bookman Old Style" w:hAnsi="Bookman Old Style"/>
          <w:snapToGrid/>
          <w:szCs w:val="24"/>
        </w:rPr>
        <w:t xml:space="preserve">a </w:t>
      </w:r>
      <w:r>
        <w:rPr>
          <w:rFonts w:ascii="Bookman Old Style" w:hAnsi="Bookman Old Style"/>
          <w:snapToGrid/>
          <w:szCs w:val="24"/>
        </w:rPr>
        <w:t>customer at the table to place their order directly</w:t>
      </w:r>
      <w:r w:rsidR="001A065B">
        <w:rPr>
          <w:rFonts w:ascii="Bookman Old Style" w:hAnsi="Bookman Old Style"/>
          <w:snapToGrid/>
          <w:szCs w:val="24"/>
        </w:rPr>
        <w:t xml:space="preserve">, and </w:t>
      </w:r>
      <w:r w:rsidR="00E83B1D">
        <w:rPr>
          <w:rFonts w:ascii="Bookman Old Style" w:hAnsi="Bookman Old Style"/>
          <w:snapToGrid/>
          <w:szCs w:val="24"/>
        </w:rPr>
        <w:t>a portion of the claimant’s</w:t>
      </w:r>
      <w:r w:rsidR="001A065B">
        <w:rPr>
          <w:rFonts w:ascii="Bookman Old Style" w:hAnsi="Bookman Old Style"/>
          <w:snapToGrid/>
          <w:szCs w:val="24"/>
        </w:rPr>
        <w:t xml:space="preserve"> bonus was linked to </w:t>
      </w:r>
      <w:r w:rsidR="00E83B1D">
        <w:rPr>
          <w:rFonts w:ascii="Bookman Old Style" w:hAnsi="Bookman Old Style"/>
          <w:snapToGrid/>
          <w:szCs w:val="24"/>
        </w:rPr>
        <w:t>achieving</w:t>
      </w:r>
      <w:r w:rsidR="001A065B">
        <w:rPr>
          <w:rFonts w:ascii="Bookman Old Style" w:hAnsi="Bookman Old Style"/>
          <w:snapToGrid/>
          <w:szCs w:val="24"/>
        </w:rPr>
        <w:t xml:space="preserve"> a certain level of use </w:t>
      </w:r>
      <w:r w:rsidR="00E83B1D">
        <w:rPr>
          <w:rFonts w:ascii="Bookman Old Style" w:hAnsi="Bookman Old Style"/>
          <w:snapToGrid/>
          <w:szCs w:val="24"/>
        </w:rPr>
        <w:t>of that system in</w:t>
      </w:r>
      <w:r w:rsidR="001A065B">
        <w:rPr>
          <w:rFonts w:ascii="Bookman Old Style" w:hAnsi="Bookman Old Style"/>
          <w:snapToGrid/>
          <w:szCs w:val="24"/>
        </w:rPr>
        <w:t xml:space="preserve"> December</w:t>
      </w:r>
      <w:r>
        <w:rPr>
          <w:rFonts w:ascii="Bookman Old Style" w:hAnsi="Bookman Old Style"/>
          <w:snapToGrid/>
          <w:szCs w:val="24"/>
        </w:rPr>
        <w:t xml:space="preserve">. </w:t>
      </w:r>
      <w:r w:rsidR="00A67202">
        <w:rPr>
          <w:rFonts w:ascii="Bookman Old Style" w:hAnsi="Bookman Old Style"/>
          <w:snapToGrid/>
          <w:szCs w:val="24"/>
        </w:rPr>
        <w:t xml:space="preserve"> </w:t>
      </w:r>
      <w:r>
        <w:rPr>
          <w:rFonts w:ascii="Bookman Old Style" w:hAnsi="Bookman Old Style"/>
          <w:snapToGrid/>
          <w:szCs w:val="24"/>
        </w:rPr>
        <w:t xml:space="preserve">The claimant had set up such a system at a previous workplace. She asked the manager in charge for the information to start setting up the system, but the manager told the claimant that the manager would set it up when she could get to it.  </w:t>
      </w:r>
    </w:p>
    <w:p w14:paraId="387699CA" w14:textId="1BAEF234" w:rsidR="00B93AAD" w:rsidRDefault="001A065B" w:rsidP="001A065B">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brought the issue</w:t>
      </w:r>
      <w:r w:rsidR="00FA7114">
        <w:rPr>
          <w:rFonts w:ascii="Bookman Old Style" w:hAnsi="Bookman Old Style"/>
          <w:snapToGrid/>
          <w:szCs w:val="24"/>
        </w:rPr>
        <w:t>s</w:t>
      </w:r>
      <w:r>
        <w:rPr>
          <w:rFonts w:ascii="Bookman Old Style" w:hAnsi="Bookman Old Style"/>
          <w:snapToGrid/>
          <w:szCs w:val="24"/>
        </w:rPr>
        <w:t xml:space="preserve"> to her supervisor in September and asked if she could return to completing the hiring process herself so she could get some staff on board. T</w:t>
      </w:r>
      <w:r w:rsidR="00E83B1D">
        <w:rPr>
          <w:rFonts w:ascii="Bookman Old Style" w:hAnsi="Bookman Old Style"/>
          <w:snapToGrid/>
          <w:szCs w:val="24"/>
        </w:rPr>
        <w:t>he claimant</w:t>
      </w:r>
      <w:r w:rsidR="00A545C3">
        <w:rPr>
          <w:rFonts w:ascii="Bookman Old Style" w:hAnsi="Bookman Old Style"/>
          <w:snapToGrid/>
          <w:szCs w:val="24"/>
        </w:rPr>
        <w:t>’s request</w:t>
      </w:r>
      <w:r w:rsidR="00E83B1D">
        <w:rPr>
          <w:rFonts w:ascii="Bookman Old Style" w:hAnsi="Bookman Old Style"/>
          <w:snapToGrid/>
          <w:szCs w:val="24"/>
        </w:rPr>
        <w:t xml:space="preserve"> was refused, t</w:t>
      </w:r>
      <w:r>
        <w:rPr>
          <w:rFonts w:ascii="Bookman Old Style" w:hAnsi="Bookman Old Style"/>
          <w:snapToGrid/>
          <w:szCs w:val="24"/>
        </w:rPr>
        <w:t xml:space="preserve">he </w:t>
      </w:r>
      <w:r w:rsidR="00FA7114">
        <w:rPr>
          <w:rFonts w:ascii="Bookman Old Style" w:hAnsi="Bookman Old Style"/>
          <w:snapToGrid/>
          <w:szCs w:val="24"/>
        </w:rPr>
        <w:t xml:space="preserve">hiring </w:t>
      </w:r>
      <w:r>
        <w:rPr>
          <w:rFonts w:ascii="Bookman Old Style" w:hAnsi="Bookman Old Style"/>
          <w:snapToGrid/>
          <w:szCs w:val="24"/>
        </w:rPr>
        <w:t xml:space="preserve">process </w:t>
      </w:r>
      <w:r w:rsidR="004A59D1">
        <w:rPr>
          <w:rFonts w:ascii="Bookman Old Style" w:hAnsi="Bookman Old Style"/>
          <w:snapToGrid/>
          <w:szCs w:val="24"/>
        </w:rPr>
        <w:t xml:space="preserve">improved very briefly </w:t>
      </w:r>
      <w:r w:rsidR="00E83B1D">
        <w:rPr>
          <w:rFonts w:ascii="Bookman Old Style" w:hAnsi="Bookman Old Style"/>
          <w:snapToGrid/>
          <w:szCs w:val="24"/>
        </w:rPr>
        <w:t xml:space="preserve">and then </w:t>
      </w:r>
      <w:r w:rsidR="004A59D1">
        <w:rPr>
          <w:rFonts w:ascii="Bookman Old Style" w:hAnsi="Bookman Old Style"/>
          <w:snapToGrid/>
          <w:szCs w:val="24"/>
        </w:rPr>
        <w:t>went back to no action</w:t>
      </w:r>
      <w:r>
        <w:rPr>
          <w:rFonts w:ascii="Bookman Old Style" w:hAnsi="Bookman Old Style"/>
          <w:snapToGrid/>
          <w:szCs w:val="24"/>
        </w:rPr>
        <w:t xml:space="preserve">.  The claimant </w:t>
      </w:r>
      <w:r w:rsidR="00FA7114">
        <w:rPr>
          <w:rFonts w:ascii="Bookman Old Style" w:hAnsi="Bookman Old Style"/>
          <w:snapToGrid/>
          <w:szCs w:val="24"/>
        </w:rPr>
        <w:t xml:space="preserve">again </w:t>
      </w:r>
      <w:r w:rsidR="004A59D1">
        <w:rPr>
          <w:rFonts w:ascii="Bookman Old Style" w:hAnsi="Bookman Old Style"/>
          <w:snapToGrid/>
          <w:szCs w:val="24"/>
        </w:rPr>
        <w:t>brought the issues</w:t>
      </w:r>
      <w:r>
        <w:rPr>
          <w:rFonts w:ascii="Bookman Old Style" w:hAnsi="Bookman Old Style"/>
          <w:snapToGrid/>
          <w:szCs w:val="24"/>
        </w:rPr>
        <w:t xml:space="preserve"> to her supervisor in October, but he was getting ready to transfer to another position, so he was </w:t>
      </w:r>
      <w:r w:rsidR="00FA7114">
        <w:rPr>
          <w:rFonts w:ascii="Bookman Old Style" w:hAnsi="Bookman Old Style"/>
          <w:snapToGrid/>
          <w:szCs w:val="24"/>
        </w:rPr>
        <w:t>unable to</w:t>
      </w:r>
      <w:r>
        <w:rPr>
          <w:rFonts w:ascii="Bookman Old Style" w:hAnsi="Bookman Old Style"/>
          <w:snapToGrid/>
          <w:szCs w:val="24"/>
        </w:rPr>
        <w:t xml:space="preserve"> help.  In late October, the claimant called a corporate hotline and </w:t>
      </w:r>
      <w:r w:rsidR="00FA7114">
        <w:rPr>
          <w:rFonts w:ascii="Bookman Old Style" w:hAnsi="Bookman Old Style"/>
          <w:snapToGrid/>
          <w:szCs w:val="24"/>
        </w:rPr>
        <w:t>reported</w:t>
      </w:r>
      <w:r>
        <w:rPr>
          <w:rFonts w:ascii="Bookman Old Style" w:hAnsi="Bookman Old Style"/>
          <w:snapToGrid/>
          <w:szCs w:val="24"/>
        </w:rPr>
        <w:t xml:space="preserve"> that the human resources person</w:t>
      </w:r>
      <w:r w:rsidR="00A545C3">
        <w:rPr>
          <w:rFonts w:ascii="Bookman Old Style" w:hAnsi="Bookman Old Style"/>
          <w:snapToGrid/>
          <w:szCs w:val="24"/>
        </w:rPr>
        <w:t>’s actions were</w:t>
      </w:r>
      <w:r>
        <w:rPr>
          <w:rFonts w:ascii="Bookman Old Style" w:hAnsi="Bookman Old Style"/>
          <w:snapToGrid/>
          <w:szCs w:val="24"/>
        </w:rPr>
        <w:t xml:space="preserve"> creating a hostile workplace. The claimant had a </w:t>
      </w:r>
      <w:r w:rsidR="00FA7114">
        <w:rPr>
          <w:rFonts w:ascii="Bookman Old Style" w:hAnsi="Bookman Old Style"/>
          <w:snapToGrid/>
          <w:szCs w:val="24"/>
        </w:rPr>
        <w:t xml:space="preserve">video </w:t>
      </w:r>
      <w:r>
        <w:rPr>
          <w:rFonts w:ascii="Bookman Old Style" w:hAnsi="Bookman Old Style"/>
          <w:snapToGrid/>
          <w:szCs w:val="24"/>
        </w:rPr>
        <w:t>meeting with the head of the human resources department who said she would look into the matter. The claimant did not hear back</w:t>
      </w:r>
      <w:r w:rsidR="00FA7114">
        <w:rPr>
          <w:rFonts w:ascii="Bookman Old Style" w:hAnsi="Bookman Old Style"/>
          <w:snapToGrid/>
          <w:szCs w:val="24"/>
        </w:rPr>
        <w:t xml:space="preserve"> from human resources</w:t>
      </w:r>
      <w:r>
        <w:rPr>
          <w:rFonts w:ascii="Bookman Old Style" w:hAnsi="Bookman Old Style"/>
          <w:snapToGrid/>
          <w:szCs w:val="24"/>
        </w:rPr>
        <w:t xml:space="preserve"> </w:t>
      </w:r>
      <w:r w:rsidR="00E83B1D">
        <w:rPr>
          <w:rFonts w:ascii="Bookman Old Style" w:hAnsi="Bookman Old Style"/>
          <w:snapToGrid/>
          <w:szCs w:val="24"/>
        </w:rPr>
        <w:t xml:space="preserve">office </w:t>
      </w:r>
      <w:r>
        <w:rPr>
          <w:rFonts w:ascii="Bookman Old Style" w:hAnsi="Bookman Old Style"/>
          <w:snapToGrid/>
          <w:szCs w:val="24"/>
        </w:rPr>
        <w:t xml:space="preserve">for the entire month of November. </w:t>
      </w:r>
    </w:p>
    <w:p w14:paraId="087C57E0" w14:textId="526C5886" w:rsidR="00B93AAD" w:rsidRDefault="00B93AAD" w:rsidP="001A065B">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w:t>
      </w:r>
      <w:r w:rsidR="001A065B">
        <w:rPr>
          <w:rFonts w:ascii="Bookman Old Style" w:hAnsi="Bookman Old Style"/>
          <w:snapToGrid/>
          <w:szCs w:val="24"/>
        </w:rPr>
        <w:t xml:space="preserve"> continued to work up to 75 hours per week </w:t>
      </w:r>
      <w:r>
        <w:rPr>
          <w:rFonts w:ascii="Bookman Old Style" w:hAnsi="Bookman Old Style"/>
          <w:snapToGrid/>
          <w:szCs w:val="24"/>
        </w:rPr>
        <w:t>through</w:t>
      </w:r>
      <w:r w:rsidR="00FA7114">
        <w:rPr>
          <w:rFonts w:ascii="Bookman Old Style" w:hAnsi="Bookman Old Style"/>
          <w:snapToGrid/>
          <w:szCs w:val="24"/>
        </w:rPr>
        <w:t>out</w:t>
      </w:r>
      <w:r>
        <w:rPr>
          <w:rFonts w:ascii="Bookman Old Style" w:hAnsi="Bookman Old Style"/>
          <w:snapToGrid/>
          <w:szCs w:val="24"/>
        </w:rPr>
        <w:t xml:space="preserve"> November </w:t>
      </w:r>
      <w:r w:rsidR="001A065B">
        <w:rPr>
          <w:rFonts w:ascii="Bookman Old Style" w:hAnsi="Bookman Old Style"/>
          <w:snapToGrid/>
          <w:szCs w:val="24"/>
        </w:rPr>
        <w:t xml:space="preserve">and she was not given the information to implement the </w:t>
      </w:r>
      <w:r w:rsidR="004A59D1">
        <w:rPr>
          <w:rFonts w:ascii="Bookman Old Style" w:hAnsi="Bookman Old Style"/>
          <w:snapToGrid/>
          <w:szCs w:val="24"/>
        </w:rPr>
        <w:t xml:space="preserve">table ordering system, so she could not meet the requirement to receive a full quarterly bonus. </w:t>
      </w:r>
      <w:r>
        <w:rPr>
          <w:rFonts w:ascii="Bookman Old Style" w:hAnsi="Bookman Old Style"/>
          <w:snapToGrid/>
          <w:szCs w:val="24"/>
        </w:rPr>
        <w:t>On December 1, 2022, the claimant gave the employer two weeks notice that she was quitting. On December 8, 2022, the claimant</w:t>
      </w:r>
      <w:r w:rsidR="00E83B1D">
        <w:rPr>
          <w:rFonts w:ascii="Bookman Old Style" w:hAnsi="Bookman Old Style"/>
          <w:snapToGrid/>
          <w:szCs w:val="24"/>
        </w:rPr>
        <w:t xml:space="preserve">’s airport badge and keys were taken and she </w:t>
      </w:r>
      <w:r>
        <w:rPr>
          <w:rFonts w:ascii="Bookman Old Style" w:hAnsi="Bookman Old Style"/>
          <w:snapToGrid/>
          <w:szCs w:val="24"/>
        </w:rPr>
        <w:t>was walked out of the airport</w:t>
      </w:r>
      <w:r w:rsidR="00E83B1D">
        <w:rPr>
          <w:rFonts w:ascii="Bookman Old Style" w:hAnsi="Bookman Old Style"/>
          <w:snapToGrid/>
          <w:szCs w:val="24"/>
        </w:rPr>
        <w:t>, however</w:t>
      </w:r>
      <w:r>
        <w:rPr>
          <w:rFonts w:ascii="Bookman Old Style" w:hAnsi="Bookman Old Style"/>
          <w:snapToGrid/>
          <w:szCs w:val="24"/>
        </w:rPr>
        <w:t xml:space="preserve"> she was paid through her intended last day. </w:t>
      </w:r>
    </w:p>
    <w:p w14:paraId="6C897506" w14:textId="77777777" w:rsidR="00B93AAD" w:rsidRPr="00D82DF6" w:rsidRDefault="00B93AAD" w:rsidP="00B93AAD">
      <w:pPr>
        <w:pStyle w:val="Heading4"/>
        <w:jc w:val="center"/>
        <w:rPr>
          <w:rFonts w:ascii="Bookman Old Style" w:hAnsi="Bookman Old Style"/>
          <w:szCs w:val="24"/>
        </w:rPr>
      </w:pPr>
      <w:r w:rsidRPr="00D82DF6">
        <w:rPr>
          <w:rFonts w:ascii="Bookman Old Style" w:hAnsi="Bookman Old Style"/>
          <w:szCs w:val="24"/>
        </w:rPr>
        <w:t>PROVISIONS OF LAW</w:t>
      </w:r>
    </w:p>
    <w:p w14:paraId="705B485C" w14:textId="77777777" w:rsidR="00B93AAD" w:rsidRPr="00D82DF6" w:rsidRDefault="00B93AAD" w:rsidP="00B93AAD">
      <w:pPr>
        <w:tabs>
          <w:tab w:val="left" w:pos="-1440"/>
          <w:tab w:val="left" w:pos="-720"/>
        </w:tabs>
        <w:rPr>
          <w:rFonts w:ascii="Bookman Old Style" w:hAnsi="Bookman Old Style"/>
          <w:szCs w:val="24"/>
        </w:rPr>
      </w:pPr>
    </w:p>
    <w:p w14:paraId="78F3E1E3" w14:textId="77777777" w:rsidR="00B93AAD" w:rsidRPr="00D82DF6" w:rsidRDefault="00B93AAD" w:rsidP="00B93AAD">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3F2DB408" w14:textId="77777777" w:rsidR="00B93AAD" w:rsidRPr="00D82DF6" w:rsidRDefault="00B93AAD" w:rsidP="00B93AAD">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0CDD10E8" w14:textId="35B2F6E4" w:rsidR="003E7E91" w:rsidRPr="00D82DF6" w:rsidRDefault="00B93AAD" w:rsidP="00B93AA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 xml:space="preserve">(a)      An insured </w:t>
      </w:r>
      <w:r w:rsidR="003E7E91" w:rsidRPr="00D82DF6">
        <w:rPr>
          <w:rFonts w:ascii="Bookman Old Style" w:hAnsi="Bookman Old Style"/>
          <w:szCs w:val="24"/>
        </w:rPr>
        <w:t>worker is disqualified for waiting-week credit or benefits for the first week in which the insured worker is unemployed and for the next five weeks of unemployment following that week if the insured worker...</w:t>
      </w:r>
    </w:p>
    <w:p w14:paraId="17DE54F2"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476D9863" w14:textId="77777777" w:rsidR="003E7E91" w:rsidRPr="00D82DF6" w:rsidRDefault="003E7E91" w:rsidP="00D82DF6">
      <w:pPr>
        <w:tabs>
          <w:tab w:val="left" w:pos="-1440"/>
          <w:tab w:val="left" w:pos="-720"/>
        </w:tabs>
        <w:rPr>
          <w:rFonts w:ascii="Bookman Old Style" w:hAnsi="Bookman Old Style"/>
          <w:szCs w:val="24"/>
        </w:rPr>
      </w:pPr>
    </w:p>
    <w:p w14:paraId="527BEAF3"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76F15613"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23800307"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100DB38" w14:textId="77777777" w:rsidR="003E7E91" w:rsidRPr="00D82DF6" w:rsidRDefault="003E7E91" w:rsidP="0012799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18E6A540"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w:t>
      </w:r>
      <w:r w:rsidRPr="00D82DF6">
        <w:rPr>
          <w:rFonts w:ascii="Bookman Old Style" w:hAnsi="Bookman Old Style"/>
          <w:snapToGrid/>
          <w:szCs w:val="24"/>
        </w:rPr>
        <w:lastRenderedPageBreak/>
        <w:t>required by the work, if the claimant has no other reasonable alternative but to leave work;</w:t>
      </w:r>
    </w:p>
    <w:p w14:paraId="635E3AAD"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30FDED8E"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188F358F"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490661AD"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14DE0291"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24152A8D"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5B0E2DB3"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49FC1AFF"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67A482D9"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2D3CB359"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0CB9221F"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355EA8FF" w14:textId="77777777" w:rsidR="003E7E91" w:rsidRPr="00D82DF6" w:rsidRDefault="003E7E91" w:rsidP="00D82DF6">
      <w:pPr>
        <w:widowControl/>
        <w:autoSpaceDE w:val="0"/>
        <w:autoSpaceDN w:val="0"/>
        <w:adjustRightInd w:val="0"/>
        <w:rPr>
          <w:rFonts w:ascii="Bookman Old Style" w:hAnsi="Bookman Old Style"/>
          <w:snapToGrid/>
          <w:szCs w:val="24"/>
        </w:rPr>
      </w:pPr>
    </w:p>
    <w:p w14:paraId="0B861F26"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365A67C"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5DB0A6EE" w14:textId="218CE339" w:rsidR="0080245E" w:rsidRDefault="0080245E" w:rsidP="00D82DF6">
      <w:pPr>
        <w:rPr>
          <w:rFonts w:ascii="Bookman Old Style" w:hAnsi="Bookman Old Style"/>
          <w:szCs w:val="24"/>
        </w:rPr>
      </w:pPr>
    </w:p>
    <w:p w14:paraId="34F5D3AE" w14:textId="55C6891C" w:rsidR="00E83B1D" w:rsidRDefault="00E83B1D" w:rsidP="00D82DF6">
      <w:pPr>
        <w:rPr>
          <w:rFonts w:ascii="Bookman Old Style" w:hAnsi="Bookman Old Style"/>
          <w:szCs w:val="24"/>
        </w:rPr>
      </w:pPr>
    </w:p>
    <w:p w14:paraId="3C86DB47" w14:textId="77777777" w:rsidR="00E83B1D" w:rsidRPr="00D82DF6" w:rsidRDefault="00E83B1D" w:rsidP="00D82DF6">
      <w:pPr>
        <w:rPr>
          <w:rFonts w:ascii="Bookman Old Style" w:hAnsi="Bookman Old Style"/>
          <w:szCs w:val="24"/>
        </w:rPr>
      </w:pPr>
    </w:p>
    <w:p w14:paraId="5D00E80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CONCLUSION</w:t>
      </w:r>
    </w:p>
    <w:p w14:paraId="06D24025" w14:textId="77777777" w:rsidR="00441439" w:rsidRPr="00D82DF6" w:rsidRDefault="00441439" w:rsidP="00D82DF6">
      <w:pPr>
        <w:rPr>
          <w:rFonts w:ascii="Bookman Old Style" w:hAnsi="Bookman Old Style"/>
          <w:szCs w:val="24"/>
        </w:rPr>
      </w:pPr>
    </w:p>
    <w:p w14:paraId="57C1D4A8" w14:textId="6E9B82E7" w:rsidR="00082EE9" w:rsidRDefault="00FA7114" w:rsidP="00D82DF6">
      <w:pPr>
        <w:suppressAutoHyphens/>
        <w:rPr>
          <w:rFonts w:ascii="Bookman Old Style" w:hAnsi="Bookman Old Style"/>
          <w:spacing w:val="-3"/>
          <w:szCs w:val="24"/>
        </w:rPr>
      </w:pPr>
      <w:r>
        <w:rPr>
          <w:rFonts w:ascii="Bookman Old Style" w:hAnsi="Bookman Old Style"/>
          <w:spacing w:val="-3"/>
          <w:szCs w:val="24"/>
        </w:rPr>
        <w:t>The claimant in this case volunta</w:t>
      </w:r>
      <w:r w:rsidR="00082EE9">
        <w:rPr>
          <w:rFonts w:ascii="Bookman Old Style" w:hAnsi="Bookman Old Style"/>
          <w:spacing w:val="-3"/>
          <w:szCs w:val="24"/>
        </w:rPr>
        <w:t xml:space="preserve">rily quit because she was required to work far beyond her agreed upon hours of work for a long period of time. In addition, she was denied the means to meet her sales goal and earn her full quarterly bonus.  The claimant brought both issues to her supervisor and to the corporate human resources office, but no solutions were provided and the employer </w:t>
      </w:r>
      <w:r w:rsidR="00E83B1D">
        <w:rPr>
          <w:rFonts w:ascii="Bookman Old Style" w:hAnsi="Bookman Old Style"/>
          <w:spacing w:val="-3"/>
          <w:szCs w:val="24"/>
        </w:rPr>
        <w:t>denied</w:t>
      </w:r>
      <w:r w:rsidR="00082EE9">
        <w:rPr>
          <w:rFonts w:ascii="Bookman Old Style" w:hAnsi="Bookman Old Style"/>
          <w:spacing w:val="-3"/>
          <w:szCs w:val="24"/>
        </w:rPr>
        <w:t xml:space="preserve"> the solutions the claimant proposed. </w:t>
      </w:r>
    </w:p>
    <w:p w14:paraId="48FD858A" w14:textId="77777777" w:rsidR="00082EE9" w:rsidRDefault="00082EE9" w:rsidP="00D82DF6">
      <w:pPr>
        <w:suppressAutoHyphens/>
        <w:rPr>
          <w:rFonts w:ascii="Bookman Old Style" w:hAnsi="Bookman Old Style"/>
          <w:spacing w:val="-3"/>
          <w:szCs w:val="24"/>
        </w:rPr>
      </w:pPr>
    </w:p>
    <w:p w14:paraId="70E4F68E" w14:textId="0D86CD58" w:rsidR="000943C6" w:rsidRDefault="000943C6" w:rsidP="000943C6">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including </w:t>
      </w:r>
      <w:r w:rsidRPr="00D82DF6">
        <w:rPr>
          <w:rFonts w:ascii="Bookman Old Style" w:hAnsi="Bookman Old Style"/>
          <w:snapToGrid/>
          <w:szCs w:val="24"/>
        </w:rPr>
        <w:t>leaving work due to safety or other working conditions or an employment agreement related directly to the work, if the claimant has no other reasonable alternative but to leave work</w:t>
      </w:r>
      <w:r>
        <w:rPr>
          <w:rFonts w:ascii="Bookman Old Style" w:hAnsi="Bookman Old Style"/>
          <w:snapToGrid/>
          <w:szCs w:val="24"/>
        </w:rPr>
        <w:t xml:space="preserve">. </w:t>
      </w:r>
    </w:p>
    <w:p w14:paraId="1AD38CC4" w14:textId="77777777" w:rsidR="000943C6" w:rsidRDefault="000943C6" w:rsidP="000943C6">
      <w:pPr>
        <w:suppressAutoHyphens/>
        <w:spacing w:line="264" w:lineRule="auto"/>
        <w:rPr>
          <w:rFonts w:ascii="Bookman Old Style" w:hAnsi="Bookman Old Style"/>
          <w:spacing w:val="-3"/>
        </w:rPr>
      </w:pPr>
    </w:p>
    <w:p w14:paraId="40CBF353" w14:textId="77777777" w:rsidR="000943C6" w:rsidRDefault="000943C6" w:rsidP="000943C6">
      <w:pPr>
        <w:rPr>
          <w:rFonts w:ascii="Bookman Old Style" w:hAnsi="Bookman Old Style"/>
          <w:szCs w:val="24"/>
        </w:rPr>
      </w:pPr>
      <w:r w:rsidRPr="00E1187D">
        <w:rPr>
          <w:rFonts w:ascii="Bookman Old Style" w:hAnsi="Bookman Old Style"/>
          <w:szCs w:val="24"/>
        </w:rPr>
        <w:t xml:space="preserve">In </w:t>
      </w:r>
      <w:r w:rsidRPr="00E1187D">
        <w:rPr>
          <w:rFonts w:ascii="Bookman Old Style" w:hAnsi="Bookman Old Style"/>
          <w:szCs w:val="24"/>
          <w:u w:val="single"/>
        </w:rPr>
        <w:t>Missall</w:t>
      </w:r>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6B4292DD" w14:textId="77777777" w:rsidR="000943C6" w:rsidRPr="00E1187D" w:rsidRDefault="000943C6" w:rsidP="000943C6">
      <w:pPr>
        <w:rPr>
          <w:rFonts w:ascii="Bookman Old Style" w:hAnsi="Bookman Old Style"/>
          <w:szCs w:val="24"/>
        </w:rPr>
      </w:pPr>
    </w:p>
    <w:p w14:paraId="74090EB6" w14:textId="77777777" w:rsidR="000943C6" w:rsidRPr="004A3290" w:rsidRDefault="000943C6" w:rsidP="000943C6">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1A8641A6" w14:textId="77777777" w:rsidR="000943C6" w:rsidRDefault="000943C6" w:rsidP="000943C6"/>
    <w:p w14:paraId="4AF3789F" w14:textId="5A42DB0B" w:rsidR="00441439" w:rsidRDefault="000943C6" w:rsidP="00D82DF6">
      <w:pPr>
        <w:suppressAutoHyphens/>
        <w:rPr>
          <w:rFonts w:ascii="Bookman Old Style" w:hAnsi="Bookman Old Style"/>
          <w:spacing w:val="-3"/>
          <w:szCs w:val="24"/>
        </w:rPr>
      </w:pPr>
      <w:r>
        <w:rPr>
          <w:rFonts w:ascii="Bookman Old Style" w:hAnsi="Bookman Old Style"/>
          <w:spacing w:val="-3"/>
          <w:szCs w:val="24"/>
        </w:rPr>
        <w:t>The claimant was being required to work more hours than agreed upon at hire</w:t>
      </w:r>
      <w:r w:rsidR="00E83B1D">
        <w:rPr>
          <w:rFonts w:ascii="Bookman Old Style" w:hAnsi="Bookman Old Style"/>
          <w:spacing w:val="-3"/>
          <w:szCs w:val="24"/>
        </w:rPr>
        <w:t xml:space="preserve"> without increased compensation</w:t>
      </w:r>
      <w:r>
        <w:rPr>
          <w:rFonts w:ascii="Bookman Old Style" w:hAnsi="Bookman Old Style"/>
          <w:spacing w:val="-3"/>
          <w:szCs w:val="24"/>
        </w:rPr>
        <w:t xml:space="preserve">, and she was being denied the ability to earn her full quarterly bonus, both of which </w:t>
      </w:r>
      <w:r w:rsidR="00E83B1D">
        <w:rPr>
          <w:rFonts w:ascii="Bookman Old Style" w:hAnsi="Bookman Old Style"/>
          <w:spacing w:val="-3"/>
          <w:szCs w:val="24"/>
        </w:rPr>
        <w:t>the Tribunal finds to be</w:t>
      </w:r>
      <w:r>
        <w:rPr>
          <w:rFonts w:ascii="Bookman Old Style" w:hAnsi="Bookman Old Style"/>
          <w:spacing w:val="-3"/>
          <w:szCs w:val="24"/>
        </w:rPr>
        <w:t xml:space="preserve"> compelling circumstances</w:t>
      </w:r>
      <w:r w:rsidR="00E83B1D">
        <w:rPr>
          <w:rFonts w:ascii="Bookman Old Style" w:hAnsi="Bookman Old Style"/>
          <w:spacing w:val="-3"/>
          <w:szCs w:val="24"/>
        </w:rPr>
        <w:t xml:space="preserve">, as compensation for work performed is a major component of the </w:t>
      </w:r>
      <w:r w:rsidR="00A545C3">
        <w:rPr>
          <w:rFonts w:ascii="Bookman Old Style" w:hAnsi="Bookman Old Style"/>
          <w:spacing w:val="-3"/>
          <w:szCs w:val="24"/>
        </w:rPr>
        <w:t>employment</w:t>
      </w:r>
      <w:r w:rsidR="00E83B1D">
        <w:rPr>
          <w:rFonts w:ascii="Bookman Old Style" w:hAnsi="Bookman Old Style"/>
          <w:spacing w:val="-3"/>
          <w:szCs w:val="24"/>
        </w:rPr>
        <w:t xml:space="preserve"> agreement</w:t>
      </w:r>
      <w:r>
        <w:rPr>
          <w:rFonts w:ascii="Bookman Old Style" w:hAnsi="Bookman Old Style"/>
          <w:spacing w:val="-3"/>
          <w:szCs w:val="24"/>
        </w:rPr>
        <w:t xml:space="preserve">. </w:t>
      </w:r>
      <w:r w:rsidR="00E83B1D">
        <w:rPr>
          <w:rFonts w:ascii="Bookman Old Style" w:hAnsi="Bookman Old Style"/>
          <w:spacing w:val="-3"/>
          <w:szCs w:val="24"/>
        </w:rPr>
        <w:t>The claimant</w:t>
      </w:r>
      <w:r>
        <w:rPr>
          <w:rFonts w:ascii="Bookman Old Style" w:hAnsi="Bookman Old Style"/>
          <w:spacing w:val="-3"/>
          <w:szCs w:val="24"/>
        </w:rPr>
        <w:t xml:space="preserve"> brought her concerns to the employer and </w:t>
      </w:r>
      <w:r w:rsidR="00E83B1D">
        <w:rPr>
          <w:rFonts w:ascii="Bookman Old Style" w:hAnsi="Bookman Old Style"/>
          <w:spacing w:val="-3"/>
          <w:szCs w:val="24"/>
        </w:rPr>
        <w:t xml:space="preserve">even </w:t>
      </w:r>
      <w:r>
        <w:rPr>
          <w:rFonts w:ascii="Bookman Old Style" w:hAnsi="Bookman Old Style"/>
          <w:spacing w:val="-3"/>
          <w:szCs w:val="24"/>
        </w:rPr>
        <w:t xml:space="preserve">proposed </w:t>
      </w:r>
      <w:r w:rsidR="00E83B1D">
        <w:rPr>
          <w:rFonts w:ascii="Bookman Old Style" w:hAnsi="Bookman Old Style"/>
          <w:spacing w:val="-3"/>
          <w:szCs w:val="24"/>
        </w:rPr>
        <w:t xml:space="preserve">what seemed to her be reasonable </w:t>
      </w:r>
      <w:r>
        <w:rPr>
          <w:rFonts w:ascii="Bookman Old Style" w:hAnsi="Bookman Old Style"/>
          <w:spacing w:val="-3"/>
          <w:szCs w:val="24"/>
        </w:rPr>
        <w:t xml:space="preserve">solutions, but </w:t>
      </w:r>
      <w:r w:rsidR="00E83B1D">
        <w:rPr>
          <w:rFonts w:ascii="Bookman Old Style" w:hAnsi="Bookman Old Style"/>
          <w:spacing w:val="-3"/>
          <w:szCs w:val="24"/>
        </w:rPr>
        <w:t xml:space="preserve">the employer rejected her solutions and </w:t>
      </w:r>
      <w:r>
        <w:rPr>
          <w:rFonts w:ascii="Bookman Old Style" w:hAnsi="Bookman Old Style"/>
          <w:spacing w:val="-3"/>
          <w:szCs w:val="24"/>
        </w:rPr>
        <w:t>her circumstances did not change</w:t>
      </w:r>
      <w:r w:rsidR="00E83B1D">
        <w:rPr>
          <w:rFonts w:ascii="Bookman Old Style" w:hAnsi="Bookman Old Style"/>
          <w:spacing w:val="-3"/>
          <w:szCs w:val="24"/>
        </w:rPr>
        <w:t xml:space="preserve"> over several months</w:t>
      </w:r>
      <w:r>
        <w:rPr>
          <w:rFonts w:ascii="Bookman Old Style" w:hAnsi="Bookman Old Style"/>
          <w:spacing w:val="-3"/>
          <w:szCs w:val="24"/>
        </w:rPr>
        <w:t xml:space="preserve">. </w:t>
      </w:r>
      <w:r w:rsidR="0059604A">
        <w:rPr>
          <w:rFonts w:ascii="Bookman Old Style" w:hAnsi="Bookman Old Style"/>
          <w:spacing w:val="-3"/>
          <w:szCs w:val="24"/>
        </w:rPr>
        <w:t xml:space="preserve">The Tribunal finds the claimant had no other reasonable alternative but to leave the work. </w:t>
      </w:r>
    </w:p>
    <w:p w14:paraId="216183CA" w14:textId="35099F38" w:rsidR="0059604A" w:rsidRDefault="0059604A" w:rsidP="00D82DF6">
      <w:pPr>
        <w:suppressAutoHyphens/>
        <w:rPr>
          <w:rFonts w:ascii="Bookman Old Style" w:hAnsi="Bookman Old Style"/>
          <w:spacing w:val="-3"/>
          <w:szCs w:val="24"/>
        </w:rPr>
      </w:pPr>
    </w:p>
    <w:p w14:paraId="4D2E0215" w14:textId="3078D34D" w:rsidR="0059604A" w:rsidRPr="00D82DF6" w:rsidRDefault="0059604A" w:rsidP="00D82DF6">
      <w:pPr>
        <w:suppressAutoHyphens/>
        <w:rPr>
          <w:rFonts w:ascii="Bookman Old Style" w:hAnsi="Bookman Old Style"/>
          <w:spacing w:val="-3"/>
          <w:szCs w:val="24"/>
        </w:rPr>
      </w:pPr>
      <w:r>
        <w:rPr>
          <w:rFonts w:ascii="Bookman Old Style" w:hAnsi="Bookman Old Style"/>
          <w:spacing w:val="-3"/>
          <w:szCs w:val="24"/>
        </w:rPr>
        <w:t xml:space="preserve">The Tribunal concludes the claimant had good cause to voluntarily leave work at the time she did.  The penalties of AS 23.20.379 are not appropriate. </w:t>
      </w:r>
    </w:p>
    <w:p w14:paraId="796759E7" w14:textId="77777777" w:rsidR="00441439" w:rsidRPr="00D82DF6" w:rsidRDefault="00441439" w:rsidP="00D82DF6">
      <w:pPr>
        <w:tabs>
          <w:tab w:val="left" w:pos="-1440"/>
          <w:tab w:val="left" w:pos="-720"/>
        </w:tabs>
        <w:rPr>
          <w:rFonts w:ascii="Bookman Old Style" w:hAnsi="Bookman Old Style"/>
          <w:szCs w:val="24"/>
        </w:rPr>
      </w:pPr>
    </w:p>
    <w:p w14:paraId="0CF0F39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12BCFD3C" w14:textId="77777777" w:rsidR="00441439" w:rsidRPr="00D82DF6" w:rsidRDefault="00441439" w:rsidP="00D82DF6">
      <w:pPr>
        <w:tabs>
          <w:tab w:val="left" w:pos="-1440"/>
          <w:tab w:val="left" w:pos="-720"/>
        </w:tabs>
        <w:rPr>
          <w:rFonts w:ascii="Bookman Old Style" w:hAnsi="Bookman Old Style"/>
          <w:szCs w:val="24"/>
        </w:rPr>
      </w:pPr>
    </w:p>
    <w:p w14:paraId="774BAE6D" w14:textId="677B8388"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59604A">
        <w:rPr>
          <w:rFonts w:ascii="Bookman Old Style" w:hAnsi="Bookman Old Style"/>
          <w:szCs w:val="24"/>
        </w:rPr>
        <w:t>February 10, 2023</w:t>
      </w:r>
      <w:r w:rsidR="003311C5">
        <w:rPr>
          <w:rFonts w:ascii="Bookman Old Style" w:hAnsi="Bookman Old Style"/>
          <w:szCs w:val="24"/>
        </w:rPr>
        <w:t xml:space="preserve"> </w:t>
      </w:r>
      <w:r w:rsidRPr="00D82DF6">
        <w:rPr>
          <w:rFonts w:ascii="Bookman Old Style" w:hAnsi="Bookman Old Style"/>
          <w:szCs w:val="24"/>
        </w:rPr>
        <w:t xml:space="preserve">is </w:t>
      </w:r>
      <w:r w:rsidR="0059604A">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59604A">
        <w:rPr>
          <w:rFonts w:ascii="Bookman Old Style" w:hAnsi="Bookman Old Style"/>
          <w:szCs w:val="24"/>
        </w:rPr>
        <w:t>January 28, 2023 through March 4, 2023</w:t>
      </w:r>
      <w:r w:rsidRPr="00D82DF6">
        <w:rPr>
          <w:rFonts w:ascii="Bookman Old Style" w:hAnsi="Bookman Old Style"/>
          <w:szCs w:val="24"/>
        </w:rPr>
        <w:t xml:space="preserve">, if otherwise eligible. The three weeks are restored to the claimant’s maximum </w:t>
      </w:r>
      <w:r w:rsidRPr="00D82DF6">
        <w:rPr>
          <w:rFonts w:ascii="Bookman Old Style" w:hAnsi="Bookman Old Style"/>
          <w:szCs w:val="24"/>
        </w:rPr>
        <w:lastRenderedPageBreak/>
        <w:t>benefits. The determination will not interfere with the claimant’s eligibility for extended benefits under AS 23.20.406-409.</w:t>
      </w:r>
    </w:p>
    <w:p w14:paraId="698AAEAB" w14:textId="511C51C1" w:rsidR="0059604A" w:rsidRPr="00D82DF6" w:rsidRDefault="00D82DF6" w:rsidP="0059604A">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512823F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0BF9CDD9" w14:textId="77777777" w:rsidR="00441439" w:rsidRPr="00D82DF6" w:rsidRDefault="00441439" w:rsidP="00D82DF6">
      <w:pPr>
        <w:tabs>
          <w:tab w:val="left" w:pos="-1440"/>
          <w:tab w:val="left" w:pos="-720"/>
        </w:tabs>
        <w:rPr>
          <w:rFonts w:ascii="Bookman Old Style" w:hAnsi="Bookman Old Style"/>
          <w:szCs w:val="24"/>
        </w:rPr>
      </w:pPr>
    </w:p>
    <w:p w14:paraId="095ABA01"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89E665E" w14:textId="77777777" w:rsidR="00441439" w:rsidRPr="00D82DF6" w:rsidRDefault="00441439" w:rsidP="00D82DF6">
      <w:pPr>
        <w:tabs>
          <w:tab w:val="left" w:pos="-1440"/>
          <w:tab w:val="left" w:pos="-720"/>
        </w:tabs>
        <w:rPr>
          <w:rFonts w:ascii="Bookman Old Style" w:hAnsi="Bookman Old Style"/>
          <w:szCs w:val="24"/>
        </w:rPr>
      </w:pPr>
    </w:p>
    <w:p w14:paraId="6FCA1237" w14:textId="04306465"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59604A">
        <w:rPr>
          <w:rFonts w:ascii="Bookman Old Style" w:hAnsi="Bookman Old Style"/>
          <w:szCs w:val="24"/>
        </w:rPr>
        <w:t>March 22, 2023</w:t>
      </w:r>
      <w:r w:rsidR="00441439" w:rsidRPr="00D82DF6">
        <w:rPr>
          <w:rFonts w:ascii="Bookman Old Style" w:hAnsi="Bookman Old Style"/>
          <w:szCs w:val="24"/>
        </w:rPr>
        <w:t>.</w:t>
      </w:r>
    </w:p>
    <w:p w14:paraId="3629C1BD" w14:textId="77777777" w:rsidR="00441439" w:rsidRPr="00D82DF6" w:rsidRDefault="00441439" w:rsidP="00D82DF6">
      <w:pPr>
        <w:tabs>
          <w:tab w:val="left" w:pos="-1440"/>
          <w:tab w:val="left" w:pos="-720"/>
        </w:tabs>
        <w:rPr>
          <w:rFonts w:ascii="Bookman Old Style" w:hAnsi="Bookman Old Style"/>
          <w:szCs w:val="24"/>
        </w:rPr>
      </w:pPr>
    </w:p>
    <w:p w14:paraId="7AFA4FF1"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6FD9BA0C" w14:textId="77777777" w:rsidR="00441439" w:rsidRPr="00D82DF6" w:rsidRDefault="00441439" w:rsidP="00D82DF6">
      <w:pPr>
        <w:tabs>
          <w:tab w:val="left" w:pos="-1440"/>
          <w:tab w:val="left" w:pos="-720"/>
        </w:tabs>
        <w:rPr>
          <w:rFonts w:ascii="Bookman Old Style" w:hAnsi="Bookman Old Style"/>
          <w:szCs w:val="24"/>
        </w:rPr>
      </w:pPr>
    </w:p>
    <w:p w14:paraId="0EC354F9" w14:textId="77777777" w:rsidR="00441439" w:rsidRPr="00D82DF6" w:rsidRDefault="00441439" w:rsidP="00D82DF6">
      <w:pPr>
        <w:tabs>
          <w:tab w:val="left" w:pos="-1440"/>
          <w:tab w:val="left" w:pos="-720"/>
        </w:tabs>
        <w:rPr>
          <w:rFonts w:ascii="Bookman Old Style" w:hAnsi="Bookman Old Style"/>
          <w:szCs w:val="24"/>
        </w:rPr>
      </w:pPr>
    </w:p>
    <w:p w14:paraId="769F9C9C" w14:textId="77777777" w:rsidR="00441439" w:rsidRPr="00D82DF6" w:rsidRDefault="00441439" w:rsidP="00D82DF6">
      <w:pPr>
        <w:tabs>
          <w:tab w:val="left" w:pos="-1440"/>
          <w:tab w:val="left" w:pos="-720"/>
        </w:tabs>
        <w:rPr>
          <w:rFonts w:ascii="Bookman Old Style" w:hAnsi="Bookman Old Style"/>
          <w:szCs w:val="24"/>
        </w:rPr>
      </w:pPr>
    </w:p>
    <w:p w14:paraId="644809CD" w14:textId="00D0EE3E"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59604A">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09AE" w14:textId="77777777" w:rsidR="00E973F3" w:rsidRDefault="00E973F3">
      <w:pPr>
        <w:widowControl/>
        <w:spacing w:line="20" w:lineRule="exact"/>
      </w:pPr>
    </w:p>
  </w:endnote>
  <w:endnote w:type="continuationSeparator" w:id="0">
    <w:p w14:paraId="019CD354" w14:textId="77777777" w:rsidR="00E973F3" w:rsidRDefault="00E973F3">
      <w:r>
        <w:t xml:space="preserve"> </w:t>
      </w:r>
    </w:p>
  </w:endnote>
  <w:endnote w:type="continuationNotice" w:id="1">
    <w:p w14:paraId="2E8861C8" w14:textId="77777777" w:rsidR="00E973F3" w:rsidRDefault="00E973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D2FA" w14:textId="77777777" w:rsidR="00E973F3" w:rsidRDefault="00E973F3">
      <w:r>
        <w:separator/>
      </w:r>
    </w:p>
  </w:footnote>
  <w:footnote w:type="continuationSeparator" w:id="0">
    <w:p w14:paraId="7F2B13D9" w14:textId="77777777" w:rsidR="00E973F3" w:rsidRDefault="00E9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15DC" w14:textId="63651B99"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1A065B">
      <w:rPr>
        <w:rFonts w:ascii="Bookman Old Style" w:hAnsi="Bookman Old Style"/>
      </w:rPr>
      <w:t>23 0151</w:t>
    </w:r>
  </w:p>
  <w:p w14:paraId="0FCD863F"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5AA3D2F6"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373509443">
    <w:abstractNumId w:val="4"/>
  </w:num>
  <w:num w:numId="2" w16cid:durableId="1105929951">
    <w:abstractNumId w:val="6"/>
  </w:num>
  <w:num w:numId="3" w16cid:durableId="1854800031">
    <w:abstractNumId w:val="0"/>
  </w:num>
  <w:num w:numId="4" w16cid:durableId="2093118934">
    <w:abstractNumId w:val="1"/>
  </w:num>
  <w:num w:numId="5" w16cid:durableId="1473710824">
    <w:abstractNumId w:val="7"/>
  </w:num>
  <w:num w:numId="6" w16cid:durableId="154927510">
    <w:abstractNumId w:val="3"/>
  </w:num>
  <w:num w:numId="7" w16cid:durableId="380057345">
    <w:abstractNumId w:val="5"/>
  </w:num>
  <w:num w:numId="8" w16cid:durableId="155380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F3"/>
    <w:rsid w:val="00003DC3"/>
    <w:rsid w:val="00026FBD"/>
    <w:rsid w:val="00027F9D"/>
    <w:rsid w:val="00071DE6"/>
    <w:rsid w:val="00082EE9"/>
    <w:rsid w:val="00086907"/>
    <w:rsid w:val="000943C6"/>
    <w:rsid w:val="000D3B41"/>
    <w:rsid w:val="000D73C2"/>
    <w:rsid w:val="000F5712"/>
    <w:rsid w:val="0012799D"/>
    <w:rsid w:val="00145E88"/>
    <w:rsid w:val="00193EB9"/>
    <w:rsid w:val="001A065B"/>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A59D1"/>
    <w:rsid w:val="004B0A1E"/>
    <w:rsid w:val="00516602"/>
    <w:rsid w:val="005358A1"/>
    <w:rsid w:val="0059604A"/>
    <w:rsid w:val="005A281D"/>
    <w:rsid w:val="005A4355"/>
    <w:rsid w:val="005F1D92"/>
    <w:rsid w:val="00643AF0"/>
    <w:rsid w:val="00661CC4"/>
    <w:rsid w:val="00661D7B"/>
    <w:rsid w:val="00765551"/>
    <w:rsid w:val="00774034"/>
    <w:rsid w:val="007C0440"/>
    <w:rsid w:val="007C774A"/>
    <w:rsid w:val="0080245E"/>
    <w:rsid w:val="008B1CA2"/>
    <w:rsid w:val="008B45DB"/>
    <w:rsid w:val="008F3C72"/>
    <w:rsid w:val="00931AA2"/>
    <w:rsid w:val="00932DE9"/>
    <w:rsid w:val="009639E3"/>
    <w:rsid w:val="00A51932"/>
    <w:rsid w:val="00A545C3"/>
    <w:rsid w:val="00A66D6A"/>
    <w:rsid w:val="00A67202"/>
    <w:rsid w:val="00AA0015"/>
    <w:rsid w:val="00AD5C90"/>
    <w:rsid w:val="00B23E70"/>
    <w:rsid w:val="00B24371"/>
    <w:rsid w:val="00B554BF"/>
    <w:rsid w:val="00B85F9D"/>
    <w:rsid w:val="00B93AAD"/>
    <w:rsid w:val="00BE4958"/>
    <w:rsid w:val="00C3767D"/>
    <w:rsid w:val="00C47467"/>
    <w:rsid w:val="00C734D5"/>
    <w:rsid w:val="00C81FB9"/>
    <w:rsid w:val="00D025D4"/>
    <w:rsid w:val="00D829CE"/>
    <w:rsid w:val="00D82DF6"/>
    <w:rsid w:val="00DD54FF"/>
    <w:rsid w:val="00DF1DE2"/>
    <w:rsid w:val="00E20AA8"/>
    <w:rsid w:val="00E83B1D"/>
    <w:rsid w:val="00E973F3"/>
    <w:rsid w:val="00EB0E9D"/>
    <w:rsid w:val="00EB2462"/>
    <w:rsid w:val="00EC3E1C"/>
    <w:rsid w:val="00F2294D"/>
    <w:rsid w:val="00FA6CE0"/>
    <w:rsid w:val="00FA7114"/>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0DD3293"/>
  <w15:chartTrackingRefBased/>
  <w15:docId w15:val="{0293AC6A-5D5B-40A7-999C-69606818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character" w:customStyle="1" w:styleId="Heading4Char">
    <w:name w:val="Heading 4 Char"/>
    <w:link w:val="Heading4"/>
    <w:rsid w:val="00B93AAD"/>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14</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2023-03-23T00:06:00Z</cp:lastPrinted>
  <dcterms:created xsi:type="dcterms:W3CDTF">2023-03-23T00:19:00Z</dcterms:created>
  <dcterms:modified xsi:type="dcterms:W3CDTF">2023-03-23T00:19:00Z</dcterms:modified>
</cp:coreProperties>
</file>