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2CA20" w14:textId="312FF2CF" w:rsidR="009842BF" w:rsidRPr="00304946" w:rsidRDefault="00156F9B"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14:anchorId="5DF9B186" wp14:editId="295EB419">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124C4"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21EC1F57"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A7AFF8E"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BAAD834"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4353934"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8E0527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60C85926" w14:textId="77777777" w:rsidR="009842BF" w:rsidRPr="00304946" w:rsidRDefault="009842BF" w:rsidP="00304946">
      <w:pPr>
        <w:widowControl/>
        <w:tabs>
          <w:tab w:val="left" w:pos="-720"/>
        </w:tabs>
        <w:suppressAutoHyphens/>
        <w:rPr>
          <w:rFonts w:ascii="Bookman Old Style" w:hAnsi="Bookman Old Style"/>
          <w:szCs w:val="24"/>
        </w:rPr>
      </w:pPr>
    </w:p>
    <w:p w14:paraId="0110F04F"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01DFB097" w14:textId="77777777" w:rsidR="00780095" w:rsidRPr="00304946" w:rsidRDefault="00780095" w:rsidP="00304946">
      <w:pPr>
        <w:tabs>
          <w:tab w:val="left" w:pos="-720"/>
        </w:tabs>
        <w:suppressAutoHyphens/>
        <w:rPr>
          <w:rFonts w:ascii="Bookman Old Style" w:hAnsi="Bookman Old Style"/>
          <w:szCs w:val="24"/>
        </w:rPr>
      </w:pPr>
    </w:p>
    <w:p w14:paraId="7D863292" w14:textId="02E94D29"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543A51">
        <w:rPr>
          <w:rFonts w:ascii="Bookman Old Style" w:hAnsi="Bookman Old Style"/>
          <w:szCs w:val="24"/>
        </w:rPr>
        <w:t>23 0165</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543A51">
        <w:rPr>
          <w:rFonts w:ascii="Bookman Old Style" w:hAnsi="Bookman Old Style"/>
          <w:szCs w:val="24"/>
        </w:rPr>
        <w:t>March 20, 2023</w:t>
      </w:r>
    </w:p>
    <w:p w14:paraId="204F0CB4"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13A711B6" w14:textId="77777777"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14:paraId="0B5F2F10"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5E74AA92" w14:textId="5C8E2F7B" w:rsidR="00543A51" w:rsidRPr="00543A51" w:rsidRDefault="00543A51" w:rsidP="00543A51">
      <w:pPr>
        <w:tabs>
          <w:tab w:val="left" w:pos="-1440"/>
          <w:tab w:val="left" w:pos="-720"/>
          <w:tab w:val="left" w:pos="0"/>
          <w:tab w:val="left" w:pos="5760"/>
        </w:tabs>
        <w:suppressAutoHyphens/>
        <w:ind w:right="-360"/>
        <w:rPr>
          <w:rFonts w:ascii="Bookman Old Style" w:hAnsi="Bookman Old Style"/>
          <w:szCs w:val="24"/>
        </w:rPr>
      </w:pPr>
      <w:r w:rsidRPr="00543A51">
        <w:rPr>
          <w:rFonts w:ascii="Bookman Old Style" w:hAnsi="Bookman Old Style"/>
          <w:szCs w:val="24"/>
        </w:rPr>
        <w:t>KRISTINA ALGER</w:t>
      </w:r>
      <w:r>
        <w:rPr>
          <w:rFonts w:ascii="Bookman Old Style" w:hAnsi="Bookman Old Style"/>
          <w:szCs w:val="24"/>
        </w:rPr>
        <w:tab/>
      </w:r>
      <w:r w:rsidRPr="00543A51">
        <w:rPr>
          <w:rFonts w:ascii="Bookman Old Style" w:hAnsi="Bookman Old Style"/>
          <w:szCs w:val="24"/>
        </w:rPr>
        <w:t>ALASKA CENTER FOR PAIN RELIEF</w:t>
      </w:r>
    </w:p>
    <w:p w14:paraId="7384CFDC" w14:textId="510D5C27" w:rsidR="00780095" w:rsidRDefault="00780095" w:rsidP="00304946">
      <w:pPr>
        <w:tabs>
          <w:tab w:val="left" w:pos="-1440"/>
          <w:tab w:val="left" w:pos="-720"/>
          <w:tab w:val="left" w:pos="0"/>
          <w:tab w:val="left" w:pos="5760"/>
        </w:tabs>
        <w:suppressAutoHyphens/>
        <w:ind w:right="-360"/>
        <w:rPr>
          <w:rFonts w:ascii="Bookman Old Style" w:hAnsi="Bookman Old Style"/>
          <w:szCs w:val="24"/>
        </w:rPr>
      </w:pPr>
    </w:p>
    <w:p w14:paraId="08952C66" w14:textId="5DD4EB91" w:rsidR="00156F9B" w:rsidRDefault="00156F9B" w:rsidP="00304946">
      <w:pPr>
        <w:tabs>
          <w:tab w:val="left" w:pos="-1440"/>
          <w:tab w:val="left" w:pos="-720"/>
          <w:tab w:val="left" w:pos="0"/>
          <w:tab w:val="left" w:pos="5760"/>
        </w:tabs>
        <w:suppressAutoHyphens/>
        <w:ind w:right="-360"/>
        <w:rPr>
          <w:rFonts w:ascii="Bookman Old Style" w:hAnsi="Bookman Old Style"/>
          <w:szCs w:val="24"/>
        </w:rPr>
      </w:pPr>
    </w:p>
    <w:p w14:paraId="4C5E0173" w14:textId="77777777" w:rsidR="00156F9B" w:rsidRPr="00304946" w:rsidRDefault="00156F9B" w:rsidP="00304946">
      <w:pPr>
        <w:tabs>
          <w:tab w:val="left" w:pos="-1440"/>
          <w:tab w:val="left" w:pos="-720"/>
          <w:tab w:val="left" w:pos="0"/>
          <w:tab w:val="left" w:pos="5760"/>
        </w:tabs>
        <w:suppressAutoHyphens/>
        <w:ind w:right="-360"/>
        <w:rPr>
          <w:rFonts w:ascii="Bookman Old Style" w:hAnsi="Bookman Old Style"/>
          <w:szCs w:val="24"/>
        </w:rPr>
      </w:pPr>
    </w:p>
    <w:p w14:paraId="4927237B"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14:paraId="7D89098F"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0D40B806" w14:textId="063029EA" w:rsidR="00780095" w:rsidRPr="00304946" w:rsidRDefault="00543A51"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Kristina Alger</w:t>
      </w:r>
      <w:r w:rsidR="00780095" w:rsidRPr="00304946">
        <w:rPr>
          <w:rFonts w:ascii="Bookman Old Style" w:hAnsi="Bookman Old Style"/>
          <w:szCs w:val="24"/>
        </w:rPr>
        <w:tab/>
      </w:r>
      <w:r>
        <w:rPr>
          <w:rFonts w:ascii="Bookman Old Style" w:hAnsi="Bookman Old Style"/>
          <w:szCs w:val="24"/>
        </w:rPr>
        <w:t>Sheila Leniear</w:t>
      </w:r>
    </w:p>
    <w:p w14:paraId="06E08870"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6EDEE463" w14:textId="77777777" w:rsidR="0078796F" w:rsidRPr="00304946" w:rsidRDefault="00780095" w:rsidP="00FC43A0">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r w:rsidR="00FC43A0">
        <w:rPr>
          <w:rFonts w:ascii="Bookman Old Style" w:hAnsi="Bookman Old Style"/>
          <w:i w:val="0"/>
          <w:color w:val="auto"/>
          <w:szCs w:val="24"/>
        </w:rPr>
        <w:t xml:space="preserve"> - TIMELINESS</w:t>
      </w:r>
    </w:p>
    <w:p w14:paraId="77EC908A" w14:textId="77777777" w:rsidR="0078796F" w:rsidRPr="00304946" w:rsidRDefault="0078796F" w:rsidP="00304946">
      <w:pPr>
        <w:tabs>
          <w:tab w:val="left" w:pos="-1440"/>
          <w:tab w:val="left" w:pos="-720"/>
        </w:tabs>
        <w:rPr>
          <w:rFonts w:ascii="Bookman Old Style" w:hAnsi="Bookman Old Style"/>
          <w:szCs w:val="24"/>
        </w:rPr>
      </w:pPr>
    </w:p>
    <w:p w14:paraId="4971F199" w14:textId="4675D2E0"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543A51">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543A51">
        <w:rPr>
          <w:rFonts w:ascii="Bookman Old Style" w:hAnsi="Bookman Old Style"/>
          <w:szCs w:val="24"/>
        </w:rPr>
        <w:t>December 7, 2020</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543A51">
        <w:rPr>
          <w:rFonts w:ascii="Bookman Old Style" w:hAnsi="Bookman Old Style"/>
          <w:szCs w:val="24"/>
        </w:rPr>
        <w:t>379</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543A51">
        <w:rPr>
          <w:rFonts w:ascii="Bookman Old Style" w:hAnsi="Bookman Old Style"/>
          <w:szCs w:val="24"/>
        </w:rPr>
        <w:t>the claimant volu8ntairly quit work without good cause</w:t>
      </w:r>
      <w:r w:rsidRPr="00304946">
        <w:rPr>
          <w:rFonts w:ascii="Bookman Old Style" w:hAnsi="Bookman Old Style"/>
          <w:szCs w:val="24"/>
        </w:rPr>
        <w:t xml:space="preserve">. The Division mailed the determination to the </w:t>
      </w:r>
      <w:r w:rsidR="00543A51">
        <w:rPr>
          <w:rFonts w:ascii="Bookman Old Style" w:hAnsi="Bookman Old Style"/>
          <w:szCs w:val="24"/>
        </w:rPr>
        <w:t>claimant’s</w:t>
      </w:r>
      <w:r w:rsidRPr="00304946">
        <w:rPr>
          <w:rFonts w:ascii="Bookman Old Style" w:hAnsi="Bookman Old Style"/>
          <w:szCs w:val="24"/>
        </w:rPr>
        <w:t xml:space="preserve"> address of record on </w:t>
      </w:r>
      <w:r w:rsidR="00543A51">
        <w:rPr>
          <w:rFonts w:ascii="Bookman Old Style" w:hAnsi="Bookman Old Style"/>
          <w:szCs w:val="24"/>
        </w:rPr>
        <w:t>December 8, 2020</w:t>
      </w:r>
      <w:r w:rsidRPr="00304946">
        <w:rPr>
          <w:rFonts w:ascii="Bookman Old Style" w:hAnsi="Bookman Old Style"/>
          <w:szCs w:val="24"/>
        </w:rPr>
        <w:t>.</w:t>
      </w:r>
      <w:r w:rsidR="000E7714" w:rsidRPr="00304946">
        <w:rPr>
          <w:rFonts w:ascii="Bookman Old Style" w:hAnsi="Bookman Old Style"/>
          <w:szCs w:val="24"/>
        </w:rPr>
        <w:t xml:space="preserve"> The </w:t>
      </w:r>
      <w:r w:rsidR="00543A51">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543A51">
        <w:rPr>
          <w:rFonts w:ascii="Bookman Old Style" w:hAnsi="Bookman Old Style"/>
          <w:szCs w:val="24"/>
        </w:rPr>
        <w:t>March 7, 2023</w:t>
      </w:r>
      <w:r w:rsidR="000E7714" w:rsidRPr="00304946">
        <w:rPr>
          <w:rFonts w:ascii="Bookman Old Style" w:hAnsi="Bookman Old Style"/>
          <w:szCs w:val="24"/>
        </w:rPr>
        <w:t xml:space="preserve">, giving rise to the issue of the timeliness of the </w:t>
      </w:r>
      <w:r w:rsidR="00543A51">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3127C88C" w14:textId="5E456F49" w:rsidR="00543A51" w:rsidRDefault="00543A51" w:rsidP="00304946">
      <w:pPr>
        <w:tabs>
          <w:tab w:val="left" w:pos="-1440"/>
          <w:tab w:val="left" w:pos="-720"/>
        </w:tabs>
        <w:rPr>
          <w:rFonts w:ascii="Bookman Old Style" w:hAnsi="Bookman Old Style"/>
          <w:szCs w:val="24"/>
        </w:rPr>
      </w:pPr>
    </w:p>
    <w:p w14:paraId="28CB27DA" w14:textId="39CE99C7" w:rsidR="00543A51" w:rsidRDefault="00543A51" w:rsidP="00304946">
      <w:pPr>
        <w:tabs>
          <w:tab w:val="left" w:pos="-1440"/>
          <w:tab w:val="left" w:pos="-720"/>
        </w:tabs>
        <w:rPr>
          <w:rFonts w:ascii="Bookman Old Style" w:hAnsi="Bookman Old Style"/>
          <w:szCs w:val="24"/>
        </w:rPr>
      </w:pPr>
      <w:r>
        <w:rPr>
          <w:rFonts w:ascii="Bookman Old Style" w:hAnsi="Bookman Old Style"/>
          <w:szCs w:val="24"/>
        </w:rPr>
        <w:t>The claimant did not receive the Division’s determination. She was in the process of moving out of the residence to which the notice was mailed. The claimant did not update her mailing address with the Division after she moved, because she had not filed for un</w:t>
      </w:r>
      <w:r w:rsidR="006C39AE">
        <w:rPr>
          <w:rFonts w:ascii="Bookman Old Style" w:hAnsi="Bookman Old Style"/>
          <w:szCs w:val="24"/>
        </w:rPr>
        <w:t>e</w:t>
      </w:r>
      <w:r>
        <w:rPr>
          <w:rFonts w:ascii="Bookman Old Style" w:hAnsi="Bookman Old Style"/>
          <w:szCs w:val="24"/>
        </w:rPr>
        <w:t xml:space="preserve">mployment benefits since October 24, 2020 and she did not expect any mail from the Division. </w:t>
      </w:r>
    </w:p>
    <w:p w14:paraId="6F983798" w14:textId="3D99C113" w:rsidR="00543A51" w:rsidRDefault="00543A51" w:rsidP="00304946">
      <w:pPr>
        <w:tabs>
          <w:tab w:val="left" w:pos="-1440"/>
          <w:tab w:val="left" w:pos="-720"/>
        </w:tabs>
        <w:rPr>
          <w:rFonts w:ascii="Bookman Old Style" w:hAnsi="Bookman Old Style"/>
          <w:szCs w:val="24"/>
        </w:rPr>
      </w:pPr>
    </w:p>
    <w:p w14:paraId="5E854ADB" w14:textId="45EE319F" w:rsidR="0078796F" w:rsidRPr="00304946" w:rsidRDefault="00543A51" w:rsidP="00304946">
      <w:pPr>
        <w:tabs>
          <w:tab w:val="left" w:pos="-1440"/>
          <w:tab w:val="left" w:pos="-720"/>
        </w:tabs>
        <w:rPr>
          <w:rFonts w:ascii="Bookman Old Style" w:hAnsi="Bookman Old Style"/>
          <w:szCs w:val="24"/>
        </w:rPr>
      </w:pPr>
      <w:r>
        <w:rPr>
          <w:rFonts w:ascii="Bookman Old Style" w:hAnsi="Bookman Old Style"/>
          <w:szCs w:val="24"/>
        </w:rPr>
        <w:t xml:space="preserve">The claimant applied for benefits </w:t>
      </w:r>
      <w:r w:rsidR="006C39AE">
        <w:rPr>
          <w:rFonts w:ascii="Bookman Old Style" w:hAnsi="Bookman Old Style"/>
          <w:szCs w:val="24"/>
        </w:rPr>
        <w:t xml:space="preserve">in January 2023. When she filed, the claimant’s benefits were held to repay overpaid benefits that resulted from the determination in this matter. On March 7, 2023, the claimant called the Division’s claim center to see why she was not receiving benefits and she learned about the determination and her appeal rights for the first time.  The claimant filed her appeal that day. </w:t>
      </w:r>
    </w:p>
    <w:p w14:paraId="3A958AB3" w14:textId="77777777" w:rsidR="0078796F" w:rsidRPr="00304946" w:rsidRDefault="0078796F" w:rsidP="00FC43A0">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r w:rsidR="00FC43A0">
        <w:rPr>
          <w:rFonts w:ascii="Bookman Old Style" w:hAnsi="Bookman Old Style"/>
          <w:i w:val="0"/>
          <w:color w:val="auto"/>
          <w:szCs w:val="24"/>
        </w:rPr>
        <w:t xml:space="preserve"> - TIMELINESS</w:t>
      </w:r>
    </w:p>
    <w:p w14:paraId="15F6D863" w14:textId="77777777" w:rsidR="0078796F" w:rsidRPr="00304946" w:rsidRDefault="0078796F" w:rsidP="00304946">
      <w:pPr>
        <w:tabs>
          <w:tab w:val="left" w:pos="-1440"/>
          <w:tab w:val="left" w:pos="-720"/>
        </w:tabs>
        <w:rPr>
          <w:rFonts w:ascii="Bookman Old Style" w:hAnsi="Bookman Old Style"/>
          <w:szCs w:val="24"/>
        </w:rPr>
      </w:pPr>
    </w:p>
    <w:p w14:paraId="39D7FBE6"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14:paraId="2DE7674B" w14:textId="77777777" w:rsidR="0078796F" w:rsidRPr="00304946" w:rsidRDefault="0078796F" w:rsidP="00304946">
      <w:pPr>
        <w:suppressAutoHyphens/>
        <w:rPr>
          <w:rFonts w:ascii="Bookman Old Style" w:hAnsi="Bookman Old Style"/>
          <w:spacing w:val="-3"/>
          <w:szCs w:val="24"/>
        </w:rPr>
      </w:pPr>
    </w:p>
    <w:p w14:paraId="21727FB1"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w:t>
      </w:r>
      <w:r w:rsidR="0078796F" w:rsidRPr="00304946">
        <w:rPr>
          <w:rFonts w:ascii="Bookman Old Style" w:hAnsi="Bookman Old Style"/>
          <w:spacing w:val="-3"/>
          <w:szCs w:val="24"/>
        </w:rPr>
        <w:lastRenderedPageBreak/>
        <w:t>mailed to the claimant's last address of record. The period for filing an appeal may be extended for a reasonable period if the claimant shows that the application was delayed as a result of circumstances beyond the claimant's control.</w:t>
      </w:r>
    </w:p>
    <w:p w14:paraId="40995BCE"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5663B1A5"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49A2EF8B" w14:textId="77777777" w:rsidR="0078796F" w:rsidRPr="00304946" w:rsidRDefault="0078796F" w:rsidP="00304946">
      <w:pPr>
        <w:tabs>
          <w:tab w:val="left" w:pos="-720"/>
        </w:tabs>
        <w:suppressAutoHyphens/>
        <w:rPr>
          <w:rFonts w:ascii="Bookman Old Style" w:hAnsi="Bookman Old Style"/>
          <w:spacing w:val="-3"/>
          <w:szCs w:val="24"/>
        </w:rPr>
      </w:pPr>
    </w:p>
    <w:p w14:paraId="0ACC70DB"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14:paraId="60122E5D"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34899774" w14:textId="77777777" w:rsidR="0078796F" w:rsidRPr="00304946" w:rsidRDefault="0078796F" w:rsidP="00304946">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14:paraId="1D8405AC" w14:textId="77777777" w:rsidR="0078796F" w:rsidRPr="00034E8A" w:rsidRDefault="0078796F" w:rsidP="00304946">
      <w:pPr>
        <w:pStyle w:val="Heading4"/>
        <w:jc w:val="center"/>
        <w:rPr>
          <w:rFonts w:ascii="Bookman Old Style" w:hAnsi="Bookman Old Style"/>
          <w:b w:val="0"/>
          <w:i w:val="0"/>
          <w:color w:val="auto"/>
          <w:szCs w:val="24"/>
        </w:rPr>
      </w:pPr>
    </w:p>
    <w:p w14:paraId="6CDA6ABA" w14:textId="77777777" w:rsidR="0078796F" w:rsidRPr="00034E8A" w:rsidRDefault="0078796F" w:rsidP="00FC43A0">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FC43A0">
        <w:rPr>
          <w:rFonts w:ascii="Bookman Old Style" w:hAnsi="Bookman Old Style"/>
          <w:i w:val="0"/>
          <w:color w:val="auto"/>
          <w:szCs w:val="24"/>
        </w:rPr>
        <w:t xml:space="preserve"> - TIMELINESS</w:t>
      </w:r>
    </w:p>
    <w:p w14:paraId="123D5A35" w14:textId="77777777" w:rsidR="0078796F" w:rsidRPr="00304946" w:rsidRDefault="0078796F" w:rsidP="00304946">
      <w:pPr>
        <w:tabs>
          <w:tab w:val="left" w:pos="-1440"/>
          <w:tab w:val="left" w:pos="-720"/>
        </w:tabs>
        <w:rPr>
          <w:rFonts w:ascii="Bookman Old Style" w:hAnsi="Bookman Old Style"/>
          <w:szCs w:val="24"/>
        </w:rPr>
      </w:pPr>
    </w:p>
    <w:p w14:paraId="56BA67D0"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482D781E" w14:textId="77777777" w:rsidR="0078796F" w:rsidRPr="00304946" w:rsidRDefault="0078796F" w:rsidP="00304946">
      <w:pPr>
        <w:tabs>
          <w:tab w:val="left" w:pos="-1440"/>
          <w:tab w:val="left" w:pos="-720"/>
        </w:tabs>
        <w:rPr>
          <w:rFonts w:ascii="Bookman Old Style" w:hAnsi="Bookman Old Style"/>
          <w:szCs w:val="24"/>
        </w:rPr>
      </w:pPr>
    </w:p>
    <w:p w14:paraId="37B0AD5F" w14:textId="77777777" w:rsidR="006C39AE" w:rsidRDefault="006C39AE" w:rsidP="006C39AE">
      <w:pPr>
        <w:rPr>
          <w:rFonts w:ascii="Bookman Old Style" w:hAnsi="Bookman Old Style"/>
          <w:szCs w:val="24"/>
        </w:rPr>
      </w:pPr>
      <w:r>
        <w:rPr>
          <w:rFonts w:ascii="Bookman Old Style" w:hAnsi="Bookman Old Style"/>
          <w:szCs w:val="24"/>
        </w:rPr>
        <w:t xml:space="preserve">In </w:t>
      </w:r>
      <w:r w:rsidRPr="00CA5DED">
        <w:rPr>
          <w:rFonts w:ascii="Bookman Old Style" w:hAnsi="Bookman Old Style"/>
          <w:szCs w:val="24"/>
          <w:u w:val="single"/>
        </w:rPr>
        <w:t>L</w:t>
      </w:r>
      <w:r>
        <w:rPr>
          <w:rFonts w:ascii="Bookman Old Style" w:hAnsi="Bookman Old Style"/>
          <w:szCs w:val="24"/>
          <w:u w:val="single"/>
        </w:rPr>
        <w:t>l</w:t>
      </w:r>
      <w:r w:rsidRPr="00CA5DED">
        <w:rPr>
          <w:rFonts w:ascii="Bookman Old Style" w:hAnsi="Bookman Old Style"/>
          <w:szCs w:val="24"/>
          <w:u w:val="single"/>
        </w:rPr>
        <w:t>anes</w:t>
      </w:r>
      <w:r>
        <w:rPr>
          <w:rFonts w:ascii="Bookman Old Style" w:hAnsi="Bookman Old Style"/>
          <w:szCs w:val="24"/>
        </w:rPr>
        <w:t xml:space="preserve">, Com. Dec. 20-0005, April 1, 2020, the Commissioner of the Department of Labor and Workforce Development held: </w:t>
      </w:r>
    </w:p>
    <w:p w14:paraId="0FF7EE01" w14:textId="77777777" w:rsidR="006C39AE" w:rsidRDefault="006C39AE" w:rsidP="006C39AE">
      <w:pPr>
        <w:ind w:left="-90"/>
        <w:rPr>
          <w:rFonts w:ascii="Bookman Old Style" w:hAnsi="Bookman Old Style"/>
          <w:szCs w:val="24"/>
        </w:rPr>
      </w:pPr>
    </w:p>
    <w:p w14:paraId="357263B2" w14:textId="77777777" w:rsidR="006C39AE" w:rsidRPr="00CA5DED" w:rsidRDefault="006C39AE" w:rsidP="006C39AE">
      <w:pPr>
        <w:ind w:left="720"/>
        <w:rPr>
          <w:rFonts w:ascii="Bookman Old Style" w:hAnsi="Bookman Old Style"/>
          <w:i/>
          <w:iCs/>
          <w:szCs w:val="24"/>
        </w:rPr>
      </w:pPr>
      <w:r w:rsidRPr="00CA5DED">
        <w:rPr>
          <w:rFonts w:ascii="Bookman Old Style" w:hAnsi="Bookman Old Style"/>
          <w:i/>
          <w:iCs/>
          <w:szCs w:val="24"/>
        </w:rPr>
        <w:t>We agree the claimant is responsible from the date he became aware of the determination because he was not currently filing for benefits when the determination was issued, and thus not under obligation to keep the division apprised of his current address or be held responsible for division mail.</w:t>
      </w:r>
    </w:p>
    <w:p w14:paraId="1CD394B6" w14:textId="77777777" w:rsidR="006C39AE" w:rsidRPr="00304946" w:rsidRDefault="006C39AE" w:rsidP="006C39AE">
      <w:pPr>
        <w:tabs>
          <w:tab w:val="left" w:pos="-720"/>
          <w:tab w:val="left" w:pos="1440"/>
        </w:tabs>
        <w:suppressAutoHyphens/>
        <w:rPr>
          <w:rFonts w:ascii="Bookman Old Style" w:hAnsi="Bookman Old Style"/>
          <w:spacing w:val="-3"/>
          <w:szCs w:val="24"/>
        </w:rPr>
      </w:pPr>
    </w:p>
    <w:p w14:paraId="7BFCC888" w14:textId="77777777" w:rsidR="006C39AE" w:rsidRDefault="006C39AE" w:rsidP="006C39AE">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 was no longer filing for benefits at the time the Division mailed the determination in this matter.  As in </w:t>
      </w:r>
      <w:r w:rsidRPr="004A09DD">
        <w:rPr>
          <w:rFonts w:ascii="Bookman Old Style" w:hAnsi="Bookman Old Style"/>
          <w:spacing w:val="-3"/>
          <w:szCs w:val="24"/>
          <w:u w:val="single"/>
        </w:rPr>
        <w:t>Llanes</w:t>
      </w:r>
      <w:r>
        <w:rPr>
          <w:rFonts w:ascii="Bookman Old Style" w:hAnsi="Bookman Old Style"/>
          <w:spacing w:val="-3"/>
          <w:szCs w:val="24"/>
        </w:rPr>
        <w:t>, she was not obligated to keep the Division apprised of her mailing address while she was not claiming benefits.  The claimant filed</w:t>
      </w:r>
    </w:p>
    <w:p w14:paraId="2BA5FD66" w14:textId="77777777" w:rsidR="006C39AE" w:rsidRDefault="006C39AE" w:rsidP="006C39AE">
      <w:pPr>
        <w:tabs>
          <w:tab w:val="left" w:pos="-720"/>
          <w:tab w:val="left" w:pos="1440"/>
        </w:tabs>
        <w:suppressAutoHyphens/>
        <w:rPr>
          <w:rFonts w:ascii="Bookman Old Style" w:hAnsi="Bookman Old Style"/>
          <w:spacing w:val="-3"/>
          <w:szCs w:val="24"/>
        </w:rPr>
      </w:pPr>
    </w:p>
    <w:p w14:paraId="3CC8F9B7" w14:textId="6D295D74" w:rsidR="0078796F" w:rsidRPr="00304946" w:rsidRDefault="006C39AE" w:rsidP="006C39AE">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lastRenderedPageBreak/>
        <w:t>her appeal promptly upon learning of the determination.  The Tribunal finds the claimant’s delay in filing her appeal was due to circumstances beyond her control</w:t>
      </w:r>
      <w:r>
        <w:rPr>
          <w:rFonts w:ascii="Bookman Old Style" w:hAnsi="Bookman Old Style"/>
          <w:spacing w:val="-3"/>
          <w:szCs w:val="24"/>
        </w:rPr>
        <w:t xml:space="preserve"> and may be accepted as timely filed</w:t>
      </w:r>
      <w:r>
        <w:rPr>
          <w:rFonts w:ascii="Bookman Old Style" w:hAnsi="Bookman Old Style"/>
          <w:spacing w:val="-3"/>
          <w:szCs w:val="24"/>
        </w:rPr>
        <w:t>.</w:t>
      </w:r>
    </w:p>
    <w:p w14:paraId="5D0DFDEF"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r w:rsidR="00FC43A0">
        <w:rPr>
          <w:rFonts w:ascii="Bookman Old Style" w:hAnsi="Bookman Old Style"/>
          <w:i w:val="0"/>
          <w:color w:val="auto"/>
          <w:szCs w:val="24"/>
        </w:rPr>
        <w:t xml:space="preserve"> - TIMELINESS</w:t>
      </w:r>
    </w:p>
    <w:p w14:paraId="7CD39C5A" w14:textId="77777777" w:rsidR="0078796F" w:rsidRPr="00304946" w:rsidRDefault="0078796F" w:rsidP="00304946">
      <w:pPr>
        <w:tabs>
          <w:tab w:val="left" w:pos="-1440"/>
          <w:tab w:val="left" w:pos="-720"/>
        </w:tabs>
        <w:rPr>
          <w:rFonts w:ascii="Bookman Old Style" w:hAnsi="Bookman Old Style"/>
          <w:szCs w:val="24"/>
        </w:rPr>
      </w:pPr>
    </w:p>
    <w:p w14:paraId="5D22236D" w14:textId="354562B3" w:rsidR="0078796F" w:rsidRPr="00304946"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6C39AE">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6C39AE">
        <w:rPr>
          <w:rFonts w:ascii="Bookman Old Style" w:hAnsi="Bookman Old Style"/>
          <w:spacing w:val="-3"/>
          <w:szCs w:val="24"/>
        </w:rPr>
        <w:t>December 7, 2020</w:t>
      </w:r>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14:paraId="01B5FAD2" w14:textId="77777777" w:rsidR="00780095" w:rsidRPr="00304946" w:rsidRDefault="00780095" w:rsidP="00304946">
      <w:pPr>
        <w:pStyle w:val="Heading2"/>
        <w:widowControl/>
        <w:ind w:right="0"/>
        <w:rPr>
          <w:rFonts w:ascii="Bookman Old Style" w:hAnsi="Bookman Old Style"/>
          <w:szCs w:val="24"/>
        </w:rPr>
      </w:pPr>
    </w:p>
    <w:p w14:paraId="3D64052F"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CASE HISTORY</w:t>
      </w:r>
      <w:r>
        <w:rPr>
          <w:rFonts w:ascii="Bookman Old Style" w:hAnsi="Bookman Old Style"/>
          <w:i w:val="0"/>
          <w:color w:val="auto"/>
          <w:szCs w:val="24"/>
        </w:rPr>
        <w:t xml:space="preserve"> - SEPARATION</w:t>
      </w:r>
    </w:p>
    <w:p w14:paraId="4127AD13" w14:textId="77777777" w:rsidR="00FC43A0" w:rsidRPr="00D82DF6" w:rsidRDefault="00FC43A0" w:rsidP="00FC43A0">
      <w:pPr>
        <w:tabs>
          <w:tab w:val="left" w:pos="-1440"/>
          <w:tab w:val="left" w:pos="-720"/>
        </w:tabs>
        <w:rPr>
          <w:rFonts w:ascii="Bookman Old Style" w:hAnsi="Bookman Old Style"/>
          <w:szCs w:val="24"/>
        </w:rPr>
      </w:pPr>
    </w:p>
    <w:p w14:paraId="2A2789F2" w14:textId="79A80407" w:rsidR="00FC43A0" w:rsidRPr="00D82DF6" w:rsidRDefault="00FC43A0" w:rsidP="00FC43A0">
      <w:pPr>
        <w:widowControl/>
        <w:spacing w:after="200"/>
        <w:rPr>
          <w:rFonts w:ascii="Bookman Old Style" w:hAnsi="Bookman Old Style"/>
          <w:snapToGrid/>
          <w:szCs w:val="24"/>
        </w:rPr>
      </w:pPr>
      <w:r w:rsidRPr="00D82DF6">
        <w:rPr>
          <w:rFonts w:ascii="Bookman Old Style" w:hAnsi="Bookman Old Style"/>
          <w:snapToGrid/>
          <w:szCs w:val="24"/>
        </w:rPr>
        <w:t>The determination</w:t>
      </w:r>
      <w:r w:rsidR="00C362BD">
        <w:rPr>
          <w:rFonts w:ascii="Bookman Old Style" w:hAnsi="Bookman Old Style"/>
          <w:snapToGrid/>
          <w:szCs w:val="24"/>
        </w:rPr>
        <w:t xml:space="preserve"> issued </w:t>
      </w:r>
      <w:r w:rsidR="006C39AE">
        <w:rPr>
          <w:rFonts w:ascii="Bookman Old Style" w:hAnsi="Bookman Old Style"/>
          <w:spacing w:val="-3"/>
          <w:szCs w:val="24"/>
        </w:rPr>
        <w:t>December 7, 2020</w:t>
      </w:r>
      <w:r w:rsidRPr="00D82DF6">
        <w:rPr>
          <w:rFonts w:ascii="Bookman Old Style" w:hAnsi="Bookman Old Style"/>
          <w:snapToGrid/>
          <w:szCs w:val="24"/>
        </w:rPr>
        <w:t xml:space="preserve"> denied benefits under Alaska Statute 23.20.379. The issue before the Appeal Tribunal is whether the claimant voluntarily quit suitable work without good cause.</w:t>
      </w:r>
    </w:p>
    <w:p w14:paraId="49E3CCCC"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FINDINGS OF FACT</w:t>
      </w:r>
      <w:r>
        <w:rPr>
          <w:rFonts w:ascii="Bookman Old Style" w:hAnsi="Bookman Old Style"/>
          <w:i w:val="0"/>
          <w:color w:val="auto"/>
          <w:szCs w:val="24"/>
        </w:rPr>
        <w:t xml:space="preserve"> - SEPARATION</w:t>
      </w:r>
    </w:p>
    <w:p w14:paraId="43349DAD" w14:textId="77777777" w:rsidR="00FC43A0" w:rsidRPr="00D82DF6" w:rsidRDefault="00FC43A0" w:rsidP="00FC43A0">
      <w:pPr>
        <w:tabs>
          <w:tab w:val="left" w:pos="-1440"/>
          <w:tab w:val="left" w:pos="-720"/>
        </w:tabs>
        <w:rPr>
          <w:rFonts w:ascii="Bookman Old Style" w:hAnsi="Bookman Old Style"/>
          <w:szCs w:val="24"/>
        </w:rPr>
      </w:pPr>
    </w:p>
    <w:p w14:paraId="7B82A5F5" w14:textId="1F43043E" w:rsidR="00FC43A0" w:rsidRDefault="00FC43A0" w:rsidP="00FC43A0">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6C39AE">
        <w:rPr>
          <w:rFonts w:ascii="Bookman Old Style" w:hAnsi="Bookman Old Style"/>
          <w:snapToGrid/>
          <w:szCs w:val="24"/>
        </w:rPr>
        <w:t>April 27, 2020</w:t>
      </w:r>
      <w:r w:rsidRPr="00D82DF6">
        <w:rPr>
          <w:rFonts w:ascii="Bookman Old Style" w:hAnsi="Bookman Old Style"/>
          <w:snapToGrid/>
          <w:szCs w:val="24"/>
        </w:rPr>
        <w:t xml:space="preserve">. </w:t>
      </w:r>
      <w:r w:rsidR="006C39AE">
        <w:rPr>
          <w:rFonts w:ascii="Bookman Old Style" w:hAnsi="Bookman Old Style"/>
          <w:snapToGrid/>
          <w:szCs w:val="24"/>
        </w:rPr>
        <w:t>She</w:t>
      </w:r>
      <w:r w:rsidRPr="00D82DF6">
        <w:rPr>
          <w:rFonts w:ascii="Bookman Old Style" w:hAnsi="Bookman Old Style"/>
          <w:snapToGrid/>
          <w:szCs w:val="24"/>
        </w:rPr>
        <w:t xml:space="preserve"> last worked on </w:t>
      </w:r>
      <w:r w:rsidR="006C39AE">
        <w:rPr>
          <w:rFonts w:ascii="Bookman Old Style" w:hAnsi="Bookman Old Style"/>
          <w:snapToGrid/>
          <w:szCs w:val="24"/>
        </w:rPr>
        <w:t>April 29, 2020</w:t>
      </w:r>
      <w:r w:rsidRPr="00D82DF6">
        <w:rPr>
          <w:rFonts w:ascii="Bookman Old Style" w:hAnsi="Bookman Old Style"/>
          <w:snapToGrid/>
          <w:szCs w:val="24"/>
        </w:rPr>
        <w:t xml:space="preserve">. At that time, </w:t>
      </w:r>
      <w:r w:rsidR="006C39AE">
        <w:rPr>
          <w:rFonts w:ascii="Bookman Old Style" w:hAnsi="Bookman Old Style"/>
          <w:snapToGrid/>
          <w:szCs w:val="24"/>
        </w:rPr>
        <w:t>she</w:t>
      </w:r>
      <w:r w:rsidRPr="00D82DF6">
        <w:rPr>
          <w:rFonts w:ascii="Bookman Old Style" w:hAnsi="Bookman Old Style"/>
          <w:snapToGrid/>
          <w:szCs w:val="24"/>
        </w:rPr>
        <w:t xml:space="preserve"> worked </w:t>
      </w:r>
      <w:r w:rsidR="006C39AE">
        <w:rPr>
          <w:rFonts w:ascii="Bookman Old Style" w:hAnsi="Bookman Old Style"/>
          <w:snapToGrid/>
          <w:szCs w:val="24"/>
        </w:rPr>
        <w:t>full-time</w:t>
      </w:r>
      <w:r w:rsidRPr="00D82DF6">
        <w:rPr>
          <w:rFonts w:ascii="Bookman Old Style" w:hAnsi="Bookman Old Style"/>
          <w:snapToGrid/>
          <w:szCs w:val="24"/>
        </w:rPr>
        <w:t xml:space="preserve"> as a </w:t>
      </w:r>
      <w:r w:rsidR="006C39AE">
        <w:rPr>
          <w:rFonts w:ascii="Bookman Old Style" w:hAnsi="Bookman Old Style"/>
          <w:snapToGrid/>
          <w:szCs w:val="24"/>
        </w:rPr>
        <w:t>medical administrative assistant</w:t>
      </w:r>
      <w:r w:rsidRPr="00D82DF6">
        <w:rPr>
          <w:rFonts w:ascii="Bookman Old Style" w:hAnsi="Bookman Old Style"/>
          <w:snapToGrid/>
          <w:szCs w:val="24"/>
        </w:rPr>
        <w:t>.</w:t>
      </w:r>
    </w:p>
    <w:p w14:paraId="10F23DC8" w14:textId="77592B08" w:rsidR="00231840" w:rsidRDefault="006C39AE"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previously worked for the employer. The </w:t>
      </w:r>
      <w:r w:rsidR="00A50D47">
        <w:rPr>
          <w:rFonts w:ascii="Bookman Old Style" w:hAnsi="Bookman Old Style"/>
          <w:snapToGrid/>
          <w:szCs w:val="24"/>
        </w:rPr>
        <w:t>office manager</w:t>
      </w:r>
      <w:r>
        <w:rPr>
          <w:rFonts w:ascii="Bookman Old Style" w:hAnsi="Bookman Old Style"/>
          <w:snapToGrid/>
          <w:szCs w:val="24"/>
        </w:rPr>
        <w:t xml:space="preserve"> was aware the claimant had some </w:t>
      </w:r>
      <w:r w:rsidR="00A50D47">
        <w:rPr>
          <w:rFonts w:ascii="Bookman Old Style" w:hAnsi="Bookman Old Style"/>
          <w:snapToGrid/>
          <w:szCs w:val="24"/>
        </w:rPr>
        <w:t>health</w:t>
      </w:r>
      <w:r>
        <w:rPr>
          <w:rFonts w:ascii="Bookman Old Style" w:hAnsi="Bookman Old Style"/>
          <w:snapToGrid/>
          <w:szCs w:val="24"/>
        </w:rPr>
        <w:t xml:space="preserve"> issues, but the employer believed the claimant was </w:t>
      </w:r>
      <w:r w:rsidR="00A50D47">
        <w:rPr>
          <w:rFonts w:ascii="Bookman Old Style" w:hAnsi="Bookman Old Style"/>
          <w:snapToGrid/>
          <w:szCs w:val="24"/>
        </w:rPr>
        <w:t>getting</w:t>
      </w:r>
      <w:r>
        <w:rPr>
          <w:rFonts w:ascii="Bookman Old Style" w:hAnsi="Bookman Old Style"/>
          <w:snapToGrid/>
          <w:szCs w:val="24"/>
        </w:rPr>
        <w:t xml:space="preserve"> better. The claimant was being treated for a condition involving vomiting and weight loss with an unknown cause. The claimant’s doctor did not advise her not to work.  </w:t>
      </w:r>
    </w:p>
    <w:p w14:paraId="690671FF" w14:textId="60FF2CB8" w:rsidR="006C39AE" w:rsidRDefault="00231840"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April 30, 2020, the claimant sent the office manager a text message before her shift, calling out because she was in pain. On May 1, 2023, the claimant was expected at work at 8:00. She sent a text after 10:00 am saying she would be in late, then later that afternoon said she would </w:t>
      </w:r>
      <w:r w:rsidR="00522DEC">
        <w:rPr>
          <w:rFonts w:ascii="Bookman Old Style" w:hAnsi="Bookman Old Style"/>
          <w:snapToGrid/>
          <w:szCs w:val="24"/>
        </w:rPr>
        <w:t xml:space="preserve">just </w:t>
      </w:r>
      <w:r>
        <w:rPr>
          <w:rFonts w:ascii="Bookman Old Style" w:hAnsi="Bookman Old Style"/>
          <w:snapToGrid/>
          <w:szCs w:val="24"/>
        </w:rPr>
        <w:t xml:space="preserve">be in on Monday. The claimant did not show up at 8:00 on </w:t>
      </w:r>
      <w:r w:rsidR="00A50D47">
        <w:rPr>
          <w:rFonts w:ascii="Bookman Old Style" w:hAnsi="Bookman Old Style"/>
          <w:snapToGrid/>
          <w:szCs w:val="24"/>
        </w:rPr>
        <w:t xml:space="preserve">   </w:t>
      </w:r>
      <w:r>
        <w:rPr>
          <w:rFonts w:ascii="Bookman Old Style" w:hAnsi="Bookman Old Style"/>
          <w:snapToGrid/>
          <w:szCs w:val="24"/>
        </w:rPr>
        <w:t>May 4, 2020 and she did not respond to the office manager’s text until almost 2:00 pm, when she said she was not feeling well.  On May 5 and 6, 2020, the claimant did not show up</w:t>
      </w:r>
      <w:r w:rsidR="00522DEC">
        <w:rPr>
          <w:rFonts w:ascii="Bookman Old Style" w:hAnsi="Bookman Old Style"/>
          <w:snapToGrid/>
          <w:szCs w:val="24"/>
        </w:rPr>
        <w:t xml:space="preserve"> for work as scheduled</w:t>
      </w:r>
      <w:r>
        <w:rPr>
          <w:rFonts w:ascii="Bookman Old Style" w:hAnsi="Bookman Old Style"/>
          <w:snapToGrid/>
          <w:szCs w:val="24"/>
        </w:rPr>
        <w:t xml:space="preserve"> and the office manager had no communication from the claimant. The employer considered the claimant had abandon her job after two days with no communication.  </w:t>
      </w:r>
    </w:p>
    <w:p w14:paraId="5E259626" w14:textId="443DBC62" w:rsidR="00FC43A0" w:rsidRDefault="00231840"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decided she did not want to continue the work at that time because she was concerned about possible exposure to the COVID-19 virus and she wanted to seek remote work. </w:t>
      </w:r>
      <w:r w:rsidR="00A50D47">
        <w:rPr>
          <w:rFonts w:ascii="Bookman Old Style" w:hAnsi="Bookman Old Style"/>
          <w:snapToGrid/>
          <w:szCs w:val="24"/>
        </w:rPr>
        <w:t xml:space="preserve">The claimant recalled that the employer was following COVID-19 precautions.  </w:t>
      </w:r>
      <w:r>
        <w:rPr>
          <w:rFonts w:ascii="Bookman Old Style" w:hAnsi="Bookman Old Style"/>
          <w:snapToGrid/>
          <w:szCs w:val="24"/>
        </w:rPr>
        <w:t xml:space="preserve">The claimant </w:t>
      </w:r>
      <w:r w:rsidR="00CF6BC5">
        <w:rPr>
          <w:rFonts w:ascii="Bookman Old Style" w:hAnsi="Bookman Old Style"/>
          <w:snapToGrid/>
          <w:szCs w:val="24"/>
        </w:rPr>
        <w:t>believed</w:t>
      </w:r>
      <w:r>
        <w:rPr>
          <w:rFonts w:ascii="Bookman Old Style" w:hAnsi="Bookman Old Style"/>
          <w:snapToGrid/>
          <w:szCs w:val="24"/>
        </w:rPr>
        <w:t xml:space="preserve"> that she talked with the office manager about returning to the work when she felt better, but the office manager had no record of such a conversation</w:t>
      </w:r>
      <w:r w:rsidR="00CF6BC5">
        <w:rPr>
          <w:rFonts w:ascii="Bookman Old Style" w:hAnsi="Bookman Old Style"/>
          <w:snapToGrid/>
          <w:szCs w:val="24"/>
        </w:rPr>
        <w:t>, but her records showed the series</w:t>
      </w:r>
      <w:r>
        <w:rPr>
          <w:rFonts w:ascii="Bookman Old Style" w:hAnsi="Bookman Old Style"/>
          <w:snapToGrid/>
          <w:szCs w:val="24"/>
        </w:rPr>
        <w:t xml:space="preserve"> </w:t>
      </w:r>
      <w:r w:rsidR="00522DEC">
        <w:rPr>
          <w:rFonts w:ascii="Bookman Old Style" w:hAnsi="Bookman Old Style"/>
          <w:snapToGrid/>
          <w:szCs w:val="24"/>
        </w:rPr>
        <w:t>text messages</w:t>
      </w:r>
      <w:r>
        <w:rPr>
          <w:rFonts w:ascii="Bookman Old Style" w:hAnsi="Bookman Old Style"/>
          <w:snapToGrid/>
          <w:szCs w:val="24"/>
        </w:rPr>
        <w:t xml:space="preserve"> </w:t>
      </w:r>
      <w:r w:rsidR="00522DEC">
        <w:rPr>
          <w:rFonts w:ascii="Bookman Old Style" w:hAnsi="Bookman Old Style"/>
          <w:snapToGrid/>
          <w:szCs w:val="24"/>
        </w:rPr>
        <w:t xml:space="preserve">that the claimant would be absent </w:t>
      </w:r>
      <w:r>
        <w:rPr>
          <w:rFonts w:ascii="Bookman Old Style" w:hAnsi="Bookman Old Style"/>
          <w:snapToGrid/>
          <w:szCs w:val="24"/>
        </w:rPr>
        <w:t>and then no further communication</w:t>
      </w:r>
      <w:r w:rsidR="00A50D47">
        <w:rPr>
          <w:rFonts w:ascii="Bookman Old Style" w:hAnsi="Bookman Old Style"/>
          <w:snapToGrid/>
          <w:szCs w:val="24"/>
        </w:rPr>
        <w:t xml:space="preserve"> from the claimant</w:t>
      </w:r>
      <w:r>
        <w:rPr>
          <w:rFonts w:ascii="Bookman Old Style" w:hAnsi="Bookman Old Style"/>
          <w:snapToGrid/>
          <w:szCs w:val="24"/>
        </w:rPr>
        <w:t>.</w:t>
      </w:r>
      <w:r w:rsidR="00A50D47">
        <w:rPr>
          <w:rFonts w:ascii="Bookman Old Style" w:hAnsi="Bookman Old Style"/>
          <w:snapToGrid/>
          <w:szCs w:val="24"/>
        </w:rPr>
        <w:t xml:space="preserve"> The office manager believed the claimant was recalling a conversation from the first time she worked for the employer, when she </w:t>
      </w:r>
      <w:r w:rsidR="00CF6BC5">
        <w:rPr>
          <w:rFonts w:ascii="Bookman Old Style" w:hAnsi="Bookman Old Style"/>
          <w:snapToGrid/>
          <w:szCs w:val="24"/>
        </w:rPr>
        <w:t xml:space="preserve">had </w:t>
      </w:r>
      <w:r w:rsidR="00A50D47">
        <w:rPr>
          <w:rFonts w:ascii="Bookman Old Style" w:hAnsi="Bookman Old Style"/>
          <w:snapToGrid/>
          <w:szCs w:val="24"/>
        </w:rPr>
        <w:t>also left the work because of her health.</w:t>
      </w:r>
      <w:r>
        <w:rPr>
          <w:rFonts w:ascii="Bookman Old Style" w:hAnsi="Bookman Old Style"/>
          <w:snapToGrid/>
          <w:szCs w:val="24"/>
        </w:rPr>
        <w:t xml:space="preserve">  The office manager held that if the claimant had maintained communication,</w:t>
      </w:r>
      <w:r w:rsidR="00A50D47">
        <w:rPr>
          <w:rFonts w:ascii="Bookman Old Style" w:hAnsi="Bookman Old Style"/>
          <w:snapToGrid/>
          <w:szCs w:val="24"/>
        </w:rPr>
        <w:t xml:space="preserve"> she would have continued to have been granted time off as needed for health reasons.</w:t>
      </w:r>
    </w:p>
    <w:p w14:paraId="42C72C17" w14:textId="77777777" w:rsidR="00A50D47" w:rsidRPr="00D82DF6" w:rsidRDefault="00A50D47" w:rsidP="00FC43A0">
      <w:pPr>
        <w:widowControl/>
        <w:tabs>
          <w:tab w:val="left" w:pos="-1440"/>
          <w:tab w:val="left" w:pos="-720"/>
        </w:tabs>
        <w:suppressAutoHyphens/>
        <w:spacing w:after="200"/>
        <w:ind w:right="-360"/>
        <w:rPr>
          <w:rFonts w:ascii="Bookman Old Style" w:hAnsi="Bookman Old Style"/>
          <w:snapToGrid/>
          <w:szCs w:val="24"/>
        </w:rPr>
      </w:pPr>
    </w:p>
    <w:p w14:paraId="62FE0A3E"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lastRenderedPageBreak/>
        <w:t>PROVISIONS OF LAW</w:t>
      </w:r>
      <w:r>
        <w:rPr>
          <w:rFonts w:ascii="Bookman Old Style" w:hAnsi="Bookman Old Style"/>
          <w:i w:val="0"/>
          <w:color w:val="auto"/>
          <w:szCs w:val="24"/>
        </w:rPr>
        <w:t xml:space="preserve"> - SEPARATION</w:t>
      </w:r>
    </w:p>
    <w:p w14:paraId="46DBCF94" w14:textId="77777777" w:rsidR="00FC43A0" w:rsidRPr="00FC43A0" w:rsidRDefault="00FC43A0" w:rsidP="00FC43A0">
      <w:pPr>
        <w:tabs>
          <w:tab w:val="left" w:pos="-1440"/>
          <w:tab w:val="left" w:pos="-720"/>
        </w:tabs>
        <w:rPr>
          <w:rFonts w:ascii="Bookman Old Style" w:hAnsi="Bookman Old Style"/>
          <w:szCs w:val="24"/>
        </w:rPr>
      </w:pPr>
    </w:p>
    <w:p w14:paraId="79B73F8C"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060DD573" w14:textId="77777777" w:rsidR="00FC43A0" w:rsidRPr="00D82DF6" w:rsidRDefault="00FC43A0" w:rsidP="00FC43A0">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5BC24C5B" w14:textId="77777777" w:rsidR="00FC43A0" w:rsidRPr="00D82DF6" w:rsidRDefault="00FC43A0" w:rsidP="00C362BD">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47F82603" w14:textId="77777777" w:rsidR="00FC43A0" w:rsidRDefault="00FC43A0" w:rsidP="00FC43A0">
      <w:pPr>
        <w:numPr>
          <w:ilvl w:val="0"/>
          <w:numId w:val="3"/>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left the insured worker's last suitable work voluntarily without good cause....</w:t>
      </w:r>
    </w:p>
    <w:p w14:paraId="15D70A99" w14:textId="77777777" w:rsidR="00C362BD" w:rsidRPr="00D82DF6" w:rsidRDefault="00C362BD" w:rsidP="00FC43A0">
      <w:pPr>
        <w:numPr>
          <w:ilvl w:val="0"/>
          <w:numId w:val="3"/>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was discharged for misconduct connected with the insured                               </w:t>
      </w:r>
      <w:r>
        <w:rPr>
          <w:rFonts w:ascii="Bookman Old Style" w:hAnsi="Bookman Old Style"/>
          <w:szCs w:val="24"/>
        </w:rPr>
        <w:t xml:space="preserve"> </w:t>
      </w:r>
      <w:r w:rsidRPr="00E54541">
        <w:rPr>
          <w:rFonts w:ascii="Bookman Old Style" w:hAnsi="Bookman Old Style"/>
          <w:szCs w:val="24"/>
        </w:rPr>
        <w:t>worker's last work</w:t>
      </w:r>
      <w:r>
        <w:rPr>
          <w:rFonts w:ascii="Bookman Old Style" w:hAnsi="Bookman Old Style"/>
          <w:szCs w:val="24"/>
        </w:rPr>
        <w:t>.</w:t>
      </w:r>
    </w:p>
    <w:p w14:paraId="75BE4A53" w14:textId="77777777" w:rsidR="00FC43A0" w:rsidRPr="00D82DF6" w:rsidRDefault="00FC43A0" w:rsidP="00FC43A0">
      <w:pPr>
        <w:tabs>
          <w:tab w:val="left" w:pos="-1440"/>
          <w:tab w:val="left" w:pos="-720"/>
        </w:tabs>
        <w:rPr>
          <w:rFonts w:ascii="Bookman Old Style" w:hAnsi="Bookman Old Style"/>
          <w:szCs w:val="24"/>
        </w:rPr>
      </w:pPr>
    </w:p>
    <w:p w14:paraId="20363B94"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5B98661E"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p>
    <w:p w14:paraId="00928670"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103C1BA1" w14:textId="77777777" w:rsidR="00FC43A0" w:rsidRPr="00D82DF6" w:rsidRDefault="00FC43A0" w:rsidP="00C362BD">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6CFCB805"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362C7690"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leaving work to care for an immediate family member who has a disability or illness;</w:t>
      </w:r>
    </w:p>
    <w:p w14:paraId="62CD5358"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7A03396C"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68BED7FF"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7C7143E6"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(B) employment;</w:t>
      </w:r>
    </w:p>
    <w:p w14:paraId="2046CED6"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57799A05"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Pr="00D82DF6">
        <w:rPr>
          <w:rFonts w:ascii="Bookman Old Style" w:hAnsi="Bookman Old Style"/>
          <w:snapToGrid/>
          <w:szCs w:val="24"/>
        </w:rPr>
        <w:t>leaving work in order to protect the claimant or the               claimant’s immediate family members from harassment or    violence;</w:t>
      </w:r>
    </w:p>
    <w:p w14:paraId="6F168715"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work  not materializing must not be due to the fault of the worker; </w:t>
      </w:r>
    </w:p>
    <w:p w14:paraId="4E492597" w14:textId="77777777" w:rsidR="00FC43A0" w:rsidRDefault="00FC43A0" w:rsidP="00FC43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67340086" w14:textId="77777777" w:rsidR="00C362BD" w:rsidRPr="00E54541" w:rsidRDefault="00C362BD" w:rsidP="00C362BD">
      <w:pPr>
        <w:tabs>
          <w:tab w:val="left" w:pos="-1440"/>
          <w:tab w:val="left" w:pos="-720"/>
          <w:tab w:val="left" w:pos="720"/>
          <w:tab w:val="left" w:pos="1440"/>
        </w:tabs>
        <w:suppressAutoHyphens/>
        <w:ind w:left="1440" w:right="-360" w:hanging="1440"/>
        <w:rPr>
          <w:rFonts w:ascii="Bookman Old Style" w:hAnsi="Bookman Old Style"/>
          <w:szCs w:val="24"/>
        </w:rPr>
      </w:pPr>
      <w:r>
        <w:rPr>
          <w:rFonts w:ascii="Bookman Old Style" w:hAnsi="Bookman Old Style"/>
          <w:szCs w:val="24"/>
        </w:rPr>
        <w:tab/>
      </w:r>
      <w:r w:rsidRPr="00E54541">
        <w:rPr>
          <w:rFonts w:ascii="Bookman Old Style" w:hAnsi="Bookman Old Style"/>
          <w:szCs w:val="24"/>
        </w:rPr>
        <w:t xml:space="preserve">(d)     "Misconduct connected with the insured worker's work" as used in </w:t>
      </w:r>
    </w:p>
    <w:p w14:paraId="5104F962" w14:textId="77777777" w:rsidR="00C362BD" w:rsidRPr="00E54541" w:rsidRDefault="00C362BD" w:rsidP="00C362BD">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1AE8FE73" w14:textId="763E5711" w:rsidR="00FC43A0" w:rsidRDefault="00C362BD" w:rsidP="00E20E0F">
      <w:pPr>
        <w:numPr>
          <w:ilvl w:val="0"/>
          <w:numId w:val="4"/>
        </w:numPr>
        <w:tabs>
          <w:tab w:val="left" w:pos="-1440"/>
          <w:tab w:val="left" w:pos="-720"/>
          <w:tab w:val="left" w:pos="720"/>
          <w:tab w:val="left" w:pos="1440"/>
          <w:tab w:val="left" w:pos="2160"/>
        </w:tabs>
        <w:suppressAutoHyphens/>
        <w:ind w:right="-360"/>
        <w:rPr>
          <w:rFonts w:ascii="Bookman Old Style" w:hAnsi="Bookman Old Style"/>
          <w:szCs w:val="24"/>
        </w:rPr>
      </w:pPr>
      <w:r w:rsidRPr="00E54541">
        <w:rPr>
          <w:rFonts w:ascii="Bookman Old Style" w:hAnsi="Bookman Old Style"/>
          <w:szCs w:val="24"/>
        </w:rPr>
        <w:t xml:space="preserve">a claimant's conduct on the job, if the conduct shows a willful and wanton disregard of the employer's interest, as a claimant might show, for example, through gross or repeated negligence, </w:t>
      </w:r>
      <w:r w:rsidRPr="00E54541">
        <w:rPr>
          <w:rFonts w:ascii="Bookman Old Style" w:hAnsi="Bookman Old Style"/>
          <w:szCs w:val="24"/>
        </w:rPr>
        <w:lastRenderedPageBreak/>
        <w:t>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4D9F604D" w14:textId="77777777" w:rsidR="00E20E0F" w:rsidRPr="00A50D47" w:rsidRDefault="00E20E0F" w:rsidP="00E20E0F">
      <w:pPr>
        <w:tabs>
          <w:tab w:val="left" w:pos="-1440"/>
          <w:tab w:val="left" w:pos="-720"/>
          <w:tab w:val="left" w:pos="720"/>
          <w:tab w:val="left" w:pos="1440"/>
          <w:tab w:val="left" w:pos="2160"/>
        </w:tabs>
        <w:suppressAutoHyphens/>
        <w:ind w:left="2910" w:right="-360"/>
        <w:rPr>
          <w:rFonts w:ascii="Bookman Old Style" w:hAnsi="Bookman Old Style"/>
          <w:szCs w:val="24"/>
        </w:rPr>
      </w:pPr>
    </w:p>
    <w:p w14:paraId="77763999" w14:textId="77777777" w:rsidR="00FC43A0" w:rsidRPr="00D82DF6" w:rsidRDefault="00FC43A0" w:rsidP="00FC43A0">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0D8C88CA" w14:textId="77777777" w:rsidR="00FC43A0" w:rsidRPr="00D82DF6" w:rsidRDefault="00FC43A0" w:rsidP="00FC43A0">
      <w:pPr>
        <w:widowControl/>
        <w:autoSpaceDE w:val="0"/>
        <w:autoSpaceDN w:val="0"/>
        <w:adjustRightInd w:val="0"/>
        <w:rPr>
          <w:rFonts w:ascii="Bookman Old Style" w:hAnsi="Bookman Old Style"/>
          <w:snapToGrid/>
          <w:szCs w:val="24"/>
        </w:rPr>
      </w:pPr>
    </w:p>
    <w:p w14:paraId="63685791"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1853BB2B" w14:textId="46E7E76F" w:rsidR="00FC43A0" w:rsidRPr="00E20E0F" w:rsidRDefault="00FC43A0" w:rsidP="00E20E0F">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5F4026C1"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CONCLUSION</w:t>
      </w:r>
      <w:r>
        <w:rPr>
          <w:rFonts w:ascii="Bookman Old Style" w:hAnsi="Bookman Old Style"/>
          <w:i w:val="0"/>
          <w:color w:val="auto"/>
          <w:szCs w:val="24"/>
        </w:rPr>
        <w:t xml:space="preserve"> - SEPARATION</w:t>
      </w:r>
    </w:p>
    <w:p w14:paraId="3B1B948D" w14:textId="77777777" w:rsidR="00FC43A0" w:rsidRPr="00D82DF6" w:rsidRDefault="00FC43A0" w:rsidP="00FC43A0">
      <w:pPr>
        <w:rPr>
          <w:rFonts w:ascii="Bookman Old Style" w:hAnsi="Bookman Old Style"/>
          <w:szCs w:val="24"/>
        </w:rPr>
      </w:pPr>
    </w:p>
    <w:p w14:paraId="2C1EC848" w14:textId="7709993A" w:rsidR="00FC43A0" w:rsidRDefault="00A50D47" w:rsidP="00FC43A0">
      <w:pPr>
        <w:suppressAutoHyphens/>
        <w:rPr>
          <w:rFonts w:ascii="Bookman Old Style" w:hAnsi="Bookman Old Style"/>
          <w:spacing w:val="-3"/>
          <w:szCs w:val="24"/>
        </w:rPr>
      </w:pPr>
      <w:r>
        <w:rPr>
          <w:rFonts w:ascii="Bookman Old Style" w:hAnsi="Bookman Old Style"/>
          <w:spacing w:val="-3"/>
          <w:szCs w:val="24"/>
        </w:rPr>
        <w:t xml:space="preserve">The claimant in this case </w:t>
      </w:r>
      <w:r w:rsidR="00E20E0F">
        <w:rPr>
          <w:rFonts w:ascii="Bookman Old Style" w:hAnsi="Bookman Old Style"/>
          <w:spacing w:val="-3"/>
          <w:szCs w:val="24"/>
        </w:rPr>
        <w:t>voluntarily quit</w:t>
      </w:r>
      <w:r>
        <w:rPr>
          <w:rFonts w:ascii="Bookman Old Style" w:hAnsi="Bookman Old Style"/>
          <w:spacing w:val="-3"/>
          <w:szCs w:val="24"/>
        </w:rPr>
        <w:t xml:space="preserve"> </w:t>
      </w:r>
      <w:r w:rsidR="00E20E0F">
        <w:rPr>
          <w:rFonts w:ascii="Bookman Old Style" w:hAnsi="Bookman Old Style"/>
          <w:spacing w:val="-3"/>
          <w:szCs w:val="24"/>
        </w:rPr>
        <w:t xml:space="preserve">after three days of work </w:t>
      </w:r>
      <w:r>
        <w:rPr>
          <w:rFonts w:ascii="Bookman Old Style" w:hAnsi="Bookman Old Style"/>
          <w:spacing w:val="-3"/>
          <w:szCs w:val="24"/>
        </w:rPr>
        <w:t xml:space="preserve">because of an ongoing health issue </w:t>
      </w:r>
      <w:r w:rsidR="00D81D94">
        <w:rPr>
          <w:rFonts w:ascii="Bookman Old Style" w:hAnsi="Bookman Old Style"/>
          <w:spacing w:val="-3"/>
          <w:szCs w:val="24"/>
        </w:rPr>
        <w:t xml:space="preserve">she was dealing with </w:t>
      </w:r>
      <w:r>
        <w:rPr>
          <w:rFonts w:ascii="Bookman Old Style" w:hAnsi="Bookman Old Style"/>
          <w:spacing w:val="-3"/>
          <w:szCs w:val="24"/>
        </w:rPr>
        <w:t xml:space="preserve">and because she was concerned about potential exposure to the COVID-19 virus.  </w:t>
      </w:r>
    </w:p>
    <w:p w14:paraId="4AB6E10E" w14:textId="64E4C102" w:rsidR="00A50D47" w:rsidRDefault="00A50D47" w:rsidP="00FC43A0">
      <w:pPr>
        <w:suppressAutoHyphens/>
        <w:rPr>
          <w:rFonts w:ascii="Bookman Old Style" w:hAnsi="Bookman Old Style"/>
          <w:spacing w:val="-3"/>
          <w:szCs w:val="24"/>
        </w:rPr>
      </w:pPr>
    </w:p>
    <w:p w14:paraId="6E9D58F6" w14:textId="1B6A6181" w:rsidR="00A50D47" w:rsidRDefault="00A50D47" w:rsidP="00A50D47">
      <w:pPr>
        <w:suppressAutoHyphens/>
        <w:spacing w:line="264" w:lineRule="auto"/>
        <w:rPr>
          <w:rFonts w:ascii="Bookman Old Style" w:hAnsi="Bookman Old Style"/>
          <w:snapToGrid/>
          <w:szCs w:val="24"/>
        </w:rPr>
      </w:pPr>
      <w:r>
        <w:rPr>
          <w:rFonts w:ascii="Bookman Old Style" w:hAnsi="Bookman Old Style"/>
          <w:spacing w:val="-3"/>
        </w:rPr>
        <w:t xml:space="preserve">Regulation 8 AAC 85.095(c) provides seven reasons that the Department will consider when determining good cause for voluntarily leaving work, including </w:t>
      </w:r>
      <w:r w:rsidRPr="00D82DF6">
        <w:rPr>
          <w:rFonts w:ascii="Bookman Old Style" w:hAnsi="Bookman Old Style"/>
          <w:snapToGrid/>
          <w:szCs w:val="24"/>
        </w:rPr>
        <w:t>leaving work due to safety or other working conditions or an employment agreement related directly to the work, if the claimant has no other reasonable alternative but to leave work</w:t>
      </w:r>
      <w:r>
        <w:rPr>
          <w:rFonts w:ascii="Bookman Old Style" w:hAnsi="Bookman Old Style"/>
          <w:snapToGrid/>
          <w:szCs w:val="24"/>
        </w:rPr>
        <w:t xml:space="preserve">. The claimant in this case </w:t>
      </w:r>
      <w:r>
        <w:rPr>
          <w:rFonts w:ascii="Bookman Old Style" w:hAnsi="Bookman Old Style"/>
          <w:snapToGrid/>
          <w:szCs w:val="24"/>
        </w:rPr>
        <w:t>was concerned</w:t>
      </w:r>
      <w:r>
        <w:rPr>
          <w:rFonts w:ascii="Bookman Old Style" w:hAnsi="Bookman Old Style"/>
          <w:snapToGrid/>
          <w:szCs w:val="24"/>
        </w:rPr>
        <w:t xml:space="preserve"> for her health </w:t>
      </w:r>
      <w:r>
        <w:rPr>
          <w:rFonts w:ascii="Bookman Old Style" w:hAnsi="Bookman Old Style"/>
          <w:snapToGrid/>
          <w:szCs w:val="24"/>
        </w:rPr>
        <w:t>because of potential exposure to the COVID-19 virus</w:t>
      </w:r>
      <w:r>
        <w:rPr>
          <w:rFonts w:ascii="Bookman Old Style" w:hAnsi="Bookman Old Style"/>
          <w:snapToGrid/>
          <w:szCs w:val="24"/>
        </w:rPr>
        <w:t xml:space="preserve">. </w:t>
      </w:r>
    </w:p>
    <w:p w14:paraId="256AB547" w14:textId="77777777" w:rsidR="00A50D47" w:rsidRDefault="00A50D47" w:rsidP="00A50D47">
      <w:pPr>
        <w:suppressAutoHyphens/>
        <w:spacing w:line="264" w:lineRule="auto"/>
        <w:rPr>
          <w:rFonts w:ascii="Bookman Old Style" w:hAnsi="Bookman Old Style"/>
          <w:snapToGrid/>
          <w:szCs w:val="24"/>
        </w:rPr>
      </w:pPr>
    </w:p>
    <w:p w14:paraId="3B812AB9" w14:textId="77777777" w:rsidR="00E20E0F" w:rsidRDefault="00E20E0F" w:rsidP="00E20E0F">
      <w:pPr>
        <w:rPr>
          <w:rFonts w:ascii="Bookman Old Style" w:hAnsi="Bookman Old Style"/>
          <w:szCs w:val="24"/>
        </w:rPr>
      </w:pPr>
      <w:r w:rsidRPr="00E1187D">
        <w:rPr>
          <w:rFonts w:ascii="Bookman Old Style" w:hAnsi="Bookman Old Style"/>
          <w:szCs w:val="24"/>
        </w:rPr>
        <w:t xml:space="preserve">In </w:t>
      </w:r>
      <w:r w:rsidRPr="00E1187D">
        <w:rPr>
          <w:rFonts w:ascii="Bookman Old Style" w:hAnsi="Bookman Old Style"/>
          <w:szCs w:val="24"/>
          <w:u w:val="single"/>
        </w:rPr>
        <w:t>Missall</w:t>
      </w:r>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6550D532" w14:textId="77777777" w:rsidR="00E20E0F" w:rsidRPr="00E1187D" w:rsidRDefault="00E20E0F" w:rsidP="00E20E0F">
      <w:pPr>
        <w:rPr>
          <w:rFonts w:ascii="Bookman Old Style" w:hAnsi="Bookman Old Style"/>
          <w:szCs w:val="24"/>
        </w:rPr>
      </w:pPr>
    </w:p>
    <w:p w14:paraId="690FBEC5" w14:textId="77777777" w:rsidR="00E20E0F" w:rsidRPr="004A3290" w:rsidRDefault="00E20E0F" w:rsidP="00E20E0F">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2204075C" w14:textId="77777777" w:rsidR="00E20E0F" w:rsidRDefault="00E20E0F" w:rsidP="00FC43A0">
      <w:pPr>
        <w:suppressAutoHyphens/>
        <w:rPr>
          <w:rFonts w:ascii="Bookman Old Style" w:hAnsi="Bookman Old Style"/>
          <w:spacing w:val="-3"/>
          <w:szCs w:val="24"/>
        </w:rPr>
      </w:pPr>
    </w:p>
    <w:p w14:paraId="26914676" w14:textId="4B88BE0C" w:rsidR="00A50D47" w:rsidRDefault="00A50D47" w:rsidP="00FC43A0">
      <w:pPr>
        <w:suppressAutoHyphens/>
        <w:rPr>
          <w:rFonts w:ascii="Bookman Old Style" w:hAnsi="Bookman Old Style"/>
          <w:spacing w:val="-3"/>
          <w:szCs w:val="24"/>
        </w:rPr>
      </w:pPr>
      <w:r>
        <w:rPr>
          <w:rFonts w:ascii="Bookman Old Style" w:hAnsi="Bookman Old Style"/>
          <w:spacing w:val="-3"/>
          <w:szCs w:val="24"/>
        </w:rPr>
        <w:lastRenderedPageBreak/>
        <w:t xml:space="preserve">The claimant in this case did not </w:t>
      </w:r>
      <w:r w:rsidR="00E20E0F">
        <w:rPr>
          <w:rFonts w:ascii="Bookman Old Style" w:hAnsi="Bookman Old Style"/>
          <w:spacing w:val="-3"/>
          <w:szCs w:val="24"/>
        </w:rPr>
        <w:t>establish that she had a compelling reason to leave the work. She was not advised by a healthcare professional that she should not work or that she was particularly at risk by exposure to the COVID-19 virus. The employer was taking recommended precautions</w:t>
      </w:r>
      <w:r w:rsidR="0014079D">
        <w:rPr>
          <w:rFonts w:ascii="Bookman Old Style" w:hAnsi="Bookman Old Style"/>
          <w:spacing w:val="-3"/>
          <w:szCs w:val="24"/>
        </w:rPr>
        <w:t xml:space="preserve"> to protect workers from the virus</w:t>
      </w:r>
      <w:r w:rsidR="00E20E0F">
        <w:rPr>
          <w:rFonts w:ascii="Bookman Old Style" w:hAnsi="Bookman Old Style"/>
          <w:spacing w:val="-3"/>
          <w:szCs w:val="24"/>
        </w:rPr>
        <w:t xml:space="preserve">. Further, the claimant did not pursue the reasonable alternative of requesting a leave of absence to protect her employment. </w:t>
      </w:r>
    </w:p>
    <w:p w14:paraId="2E041A76" w14:textId="6E77FA41" w:rsidR="00E20E0F" w:rsidRDefault="00E20E0F" w:rsidP="00FC43A0">
      <w:pPr>
        <w:suppressAutoHyphens/>
        <w:rPr>
          <w:rFonts w:ascii="Bookman Old Style" w:hAnsi="Bookman Old Style"/>
          <w:spacing w:val="-3"/>
          <w:szCs w:val="24"/>
        </w:rPr>
      </w:pPr>
    </w:p>
    <w:p w14:paraId="0BC88435" w14:textId="01CF1B13" w:rsidR="00E20E0F" w:rsidRPr="00D82DF6" w:rsidRDefault="00E20E0F" w:rsidP="00FC43A0">
      <w:pPr>
        <w:suppressAutoHyphens/>
        <w:rPr>
          <w:rFonts w:ascii="Bookman Old Style" w:hAnsi="Bookman Old Style"/>
          <w:spacing w:val="-3"/>
          <w:szCs w:val="24"/>
        </w:rPr>
      </w:pPr>
      <w:r>
        <w:rPr>
          <w:rFonts w:ascii="Bookman Old Style" w:hAnsi="Bookman Old Style"/>
          <w:spacing w:val="-3"/>
          <w:szCs w:val="24"/>
        </w:rPr>
        <w:t xml:space="preserve">The Tribunal finds the claimant did not have good cause to voluntarily leave work at the time she did.  The penalties of AS 23.20.379 are appropriate. </w:t>
      </w:r>
    </w:p>
    <w:p w14:paraId="33F62A94" w14:textId="77777777" w:rsidR="00FC43A0" w:rsidRPr="00D82DF6" w:rsidRDefault="00FC43A0" w:rsidP="00FC43A0">
      <w:pPr>
        <w:tabs>
          <w:tab w:val="left" w:pos="-1440"/>
          <w:tab w:val="left" w:pos="-720"/>
        </w:tabs>
        <w:rPr>
          <w:rFonts w:ascii="Bookman Old Style" w:hAnsi="Bookman Old Style"/>
          <w:szCs w:val="24"/>
        </w:rPr>
      </w:pPr>
    </w:p>
    <w:p w14:paraId="05CC40FE"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DECISION</w:t>
      </w:r>
      <w:r>
        <w:rPr>
          <w:rFonts w:ascii="Bookman Old Style" w:hAnsi="Bookman Old Style"/>
          <w:i w:val="0"/>
          <w:color w:val="auto"/>
          <w:szCs w:val="24"/>
        </w:rPr>
        <w:t xml:space="preserve"> - SEPARATION</w:t>
      </w:r>
    </w:p>
    <w:p w14:paraId="0024BC50" w14:textId="57EF9F3C" w:rsidR="00FC43A0" w:rsidRPr="00D82DF6" w:rsidRDefault="00FC43A0" w:rsidP="00FC43A0">
      <w:pPr>
        <w:tabs>
          <w:tab w:val="left" w:pos="-1440"/>
          <w:tab w:val="left" w:pos="-720"/>
        </w:tabs>
        <w:suppressAutoHyphens/>
        <w:ind w:right="-360"/>
        <w:rPr>
          <w:rFonts w:ascii="Bookman Old Style" w:hAnsi="Bookman Old Style"/>
          <w:szCs w:val="24"/>
        </w:rPr>
      </w:pPr>
    </w:p>
    <w:p w14:paraId="1C5903CF" w14:textId="364A52AF" w:rsidR="00FC43A0" w:rsidRPr="00D82DF6" w:rsidRDefault="00FC43A0" w:rsidP="00FC43A0">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14079D">
        <w:rPr>
          <w:rFonts w:ascii="Bookman Old Style" w:hAnsi="Bookman Old Style"/>
          <w:szCs w:val="24"/>
        </w:rPr>
        <w:t>December 7, 2020</w:t>
      </w:r>
      <w:r w:rsidRPr="00D82DF6">
        <w:rPr>
          <w:rFonts w:ascii="Bookman Old Style" w:hAnsi="Bookman Old Style"/>
          <w:szCs w:val="24"/>
        </w:rPr>
        <w:t xml:space="preserve"> is </w:t>
      </w:r>
      <w:r w:rsidR="0014079D">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14079D">
        <w:rPr>
          <w:rFonts w:ascii="Bookman Old Style" w:hAnsi="Bookman Old Style"/>
          <w:szCs w:val="24"/>
        </w:rPr>
        <w:t>remain</w:t>
      </w:r>
      <w:r w:rsidRPr="00D82DF6">
        <w:rPr>
          <w:rFonts w:ascii="Bookman Old Style" w:hAnsi="Bookman Old Style"/>
          <w:szCs w:val="24"/>
        </w:rPr>
        <w:t xml:space="preserve"> </w:t>
      </w:r>
      <w:r w:rsidRPr="0014079D">
        <w:rPr>
          <w:rFonts w:ascii="Bookman Old Style" w:hAnsi="Bookman Old Style"/>
          <w:b/>
          <w:bCs/>
          <w:szCs w:val="24"/>
        </w:rPr>
        <w:t>DENIED</w:t>
      </w:r>
      <w:r w:rsidRPr="00D82DF6">
        <w:rPr>
          <w:rFonts w:ascii="Bookman Old Style" w:hAnsi="Bookman Old Style"/>
          <w:szCs w:val="24"/>
        </w:rPr>
        <w:t xml:space="preserve"> for the weeks ending </w:t>
      </w:r>
      <w:r w:rsidR="0014079D">
        <w:rPr>
          <w:rFonts w:ascii="Bookman Old Style" w:hAnsi="Bookman Old Style"/>
          <w:szCs w:val="24"/>
        </w:rPr>
        <w:t>May 9, 2020 through June 13, 2020</w:t>
      </w:r>
      <w:r w:rsidRPr="00D82DF6">
        <w:rPr>
          <w:rFonts w:ascii="Bookman Old Style" w:hAnsi="Bookman Old Style"/>
          <w:szCs w:val="24"/>
        </w:rPr>
        <w:t xml:space="preserve">. The three weeks </w:t>
      </w:r>
      <w:r w:rsidR="0014079D">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14:paraId="1DF3DF44" w14:textId="77777777" w:rsidR="00FC43A0" w:rsidRPr="00D82DF6" w:rsidRDefault="00FC43A0" w:rsidP="00FC43A0">
      <w:pPr>
        <w:tabs>
          <w:tab w:val="left" w:pos="-1440"/>
          <w:tab w:val="left" w:pos="-720"/>
        </w:tabs>
        <w:rPr>
          <w:rFonts w:ascii="Bookman Old Style" w:hAnsi="Bookman Old Style"/>
          <w:szCs w:val="24"/>
        </w:rPr>
      </w:pPr>
    </w:p>
    <w:p w14:paraId="2FC8E502"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APPEAL RIGHTS</w:t>
      </w:r>
    </w:p>
    <w:p w14:paraId="49064522" w14:textId="77777777" w:rsidR="00FC43A0" w:rsidRPr="00D82DF6" w:rsidRDefault="00FC43A0" w:rsidP="00FC43A0">
      <w:pPr>
        <w:tabs>
          <w:tab w:val="left" w:pos="-1440"/>
          <w:tab w:val="left" w:pos="-720"/>
        </w:tabs>
        <w:rPr>
          <w:rFonts w:ascii="Bookman Old Style" w:hAnsi="Bookman Old Style"/>
          <w:szCs w:val="24"/>
        </w:rPr>
      </w:pPr>
    </w:p>
    <w:p w14:paraId="1097072A" w14:textId="77777777" w:rsidR="00FC43A0" w:rsidRPr="00D82DF6" w:rsidRDefault="00FC43A0" w:rsidP="00FC43A0">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0CFA999F" w14:textId="77777777" w:rsidR="00FC43A0" w:rsidRPr="00D82DF6" w:rsidRDefault="00FC43A0" w:rsidP="00FC43A0">
      <w:pPr>
        <w:tabs>
          <w:tab w:val="left" w:pos="-1440"/>
          <w:tab w:val="left" w:pos="-720"/>
        </w:tabs>
        <w:rPr>
          <w:rFonts w:ascii="Bookman Old Style" w:hAnsi="Bookman Old Style"/>
          <w:szCs w:val="24"/>
        </w:rPr>
      </w:pPr>
    </w:p>
    <w:p w14:paraId="04E4278E" w14:textId="66C36F65" w:rsidR="00FC43A0" w:rsidRPr="00D82DF6" w:rsidRDefault="00FC43A0" w:rsidP="00FC43A0">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14079D">
        <w:rPr>
          <w:rFonts w:ascii="Bookman Old Style" w:hAnsi="Bookman Old Style"/>
          <w:szCs w:val="24"/>
        </w:rPr>
        <w:t>March 24, 2023</w:t>
      </w:r>
      <w:r w:rsidRPr="00D82DF6">
        <w:rPr>
          <w:rFonts w:ascii="Bookman Old Style" w:hAnsi="Bookman Old Style"/>
          <w:szCs w:val="24"/>
        </w:rPr>
        <w:t>.</w:t>
      </w:r>
    </w:p>
    <w:p w14:paraId="3FCE2E4E" w14:textId="77777777" w:rsidR="00FC43A0" w:rsidRPr="00D82DF6" w:rsidRDefault="00FC43A0" w:rsidP="00FC43A0">
      <w:pPr>
        <w:tabs>
          <w:tab w:val="left" w:pos="-1440"/>
          <w:tab w:val="left" w:pos="-720"/>
        </w:tabs>
        <w:rPr>
          <w:rFonts w:ascii="Bookman Old Style" w:hAnsi="Bookman Old Style"/>
          <w:szCs w:val="24"/>
        </w:rPr>
      </w:pPr>
    </w:p>
    <w:p w14:paraId="63D33742" w14:textId="77777777" w:rsidR="0046604B" w:rsidRPr="00304946"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p>
    <w:p w14:paraId="38FBBF69" w14:textId="77777777" w:rsidR="0046604B" w:rsidRPr="00304946" w:rsidRDefault="0046604B" w:rsidP="00304946">
      <w:pPr>
        <w:tabs>
          <w:tab w:val="left" w:pos="-1440"/>
          <w:tab w:val="left" w:pos="-720"/>
        </w:tabs>
        <w:rPr>
          <w:rFonts w:ascii="Bookman Old Style" w:hAnsi="Bookman Old Style"/>
          <w:szCs w:val="24"/>
        </w:rPr>
      </w:pPr>
    </w:p>
    <w:p w14:paraId="2CEAF038" w14:textId="77777777" w:rsidR="0046604B" w:rsidRPr="00304946" w:rsidRDefault="0046604B" w:rsidP="00304946">
      <w:pPr>
        <w:tabs>
          <w:tab w:val="left" w:pos="-1440"/>
          <w:tab w:val="left" w:pos="-720"/>
        </w:tabs>
        <w:rPr>
          <w:rFonts w:ascii="Bookman Old Style" w:hAnsi="Bookman Old Style"/>
          <w:szCs w:val="24"/>
        </w:rPr>
      </w:pPr>
    </w:p>
    <w:p w14:paraId="4C0E5C59" w14:textId="1065D2D0" w:rsidR="00780095" w:rsidRPr="0046604B"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14079D">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5614" w14:textId="77777777" w:rsidR="00543A51" w:rsidRDefault="00543A51">
      <w:pPr>
        <w:widowControl/>
        <w:spacing w:line="20" w:lineRule="exact"/>
      </w:pPr>
    </w:p>
  </w:endnote>
  <w:endnote w:type="continuationSeparator" w:id="0">
    <w:p w14:paraId="490F1419" w14:textId="77777777" w:rsidR="00543A51" w:rsidRDefault="00543A51">
      <w:r>
        <w:t xml:space="preserve"> </w:t>
      </w:r>
    </w:p>
  </w:endnote>
  <w:endnote w:type="continuationNotice" w:id="1">
    <w:p w14:paraId="545059A7" w14:textId="77777777" w:rsidR="00543A51" w:rsidRDefault="00543A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50CC" w14:textId="77777777" w:rsidR="00543A51" w:rsidRDefault="00543A51">
      <w:r>
        <w:separator/>
      </w:r>
    </w:p>
  </w:footnote>
  <w:footnote w:type="continuationSeparator" w:id="0">
    <w:p w14:paraId="2248F240" w14:textId="77777777" w:rsidR="00543A51" w:rsidRDefault="0054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B123" w14:textId="1B48E2CE"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6C39AE">
      <w:rPr>
        <w:rFonts w:ascii="Bookman Old Style" w:hAnsi="Bookman Old Style"/>
      </w:rPr>
      <w:t>23 0165</w:t>
    </w:r>
  </w:p>
  <w:p w14:paraId="298932AE"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FC43A0">
      <w:rPr>
        <w:rStyle w:val="PageNumber"/>
        <w:rFonts w:ascii="Bookman Old Style" w:hAnsi="Bookman Old Style"/>
        <w:noProof/>
      </w:rPr>
      <w:t>5</w:t>
    </w:r>
    <w:r w:rsidRPr="000B3C03">
      <w:rPr>
        <w:rStyle w:val="PageNumber"/>
        <w:rFonts w:ascii="Bookman Old Style" w:hAnsi="Bookman Old Style"/>
      </w:rPr>
      <w:fldChar w:fldCharType="end"/>
    </w:r>
  </w:p>
  <w:p w14:paraId="0F6A0213"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0AE"/>
    <w:multiLevelType w:val="hybridMultilevel"/>
    <w:tmpl w:val="E5F6B482"/>
    <w:lvl w:ilvl="0" w:tplc="9972510E">
      <w:start w:val="1"/>
      <w:numFmt w:val="decimal"/>
      <w:lvlText w:val="(%1)"/>
      <w:lvlJc w:val="left"/>
      <w:pPr>
        <w:ind w:left="2910" w:hanging="75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612251640">
    <w:abstractNumId w:val="3"/>
  </w:num>
  <w:num w:numId="2" w16cid:durableId="1620451056">
    <w:abstractNumId w:val="1"/>
  </w:num>
  <w:num w:numId="3" w16cid:durableId="261887880">
    <w:abstractNumId w:val="2"/>
  </w:num>
  <w:num w:numId="4" w16cid:durableId="116754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51"/>
    <w:rsid w:val="00001E6A"/>
    <w:rsid w:val="000274F7"/>
    <w:rsid w:val="00034258"/>
    <w:rsid w:val="00034E8A"/>
    <w:rsid w:val="00087A38"/>
    <w:rsid w:val="000B3C03"/>
    <w:rsid w:val="000C07A1"/>
    <w:rsid w:val="000E242A"/>
    <w:rsid w:val="000E7714"/>
    <w:rsid w:val="001249C2"/>
    <w:rsid w:val="0014079D"/>
    <w:rsid w:val="00156F9B"/>
    <w:rsid w:val="00171C06"/>
    <w:rsid w:val="001F6B5B"/>
    <w:rsid w:val="00231840"/>
    <w:rsid w:val="00280EFF"/>
    <w:rsid w:val="002A1EF1"/>
    <w:rsid w:val="002D7F1A"/>
    <w:rsid w:val="00304946"/>
    <w:rsid w:val="00324065"/>
    <w:rsid w:val="00341E3C"/>
    <w:rsid w:val="00347206"/>
    <w:rsid w:val="00382259"/>
    <w:rsid w:val="0046604B"/>
    <w:rsid w:val="00476DC4"/>
    <w:rsid w:val="004916D6"/>
    <w:rsid w:val="004D05FC"/>
    <w:rsid w:val="004E01C7"/>
    <w:rsid w:val="004F3BD6"/>
    <w:rsid w:val="004F7405"/>
    <w:rsid w:val="00522DEC"/>
    <w:rsid w:val="00543A51"/>
    <w:rsid w:val="00591E67"/>
    <w:rsid w:val="00591FFA"/>
    <w:rsid w:val="005A674B"/>
    <w:rsid w:val="005E0966"/>
    <w:rsid w:val="005E53D0"/>
    <w:rsid w:val="00682FEC"/>
    <w:rsid w:val="006C39AE"/>
    <w:rsid w:val="006C67EA"/>
    <w:rsid w:val="00703025"/>
    <w:rsid w:val="00713867"/>
    <w:rsid w:val="00746072"/>
    <w:rsid w:val="00780095"/>
    <w:rsid w:val="00782350"/>
    <w:rsid w:val="0078796F"/>
    <w:rsid w:val="008034CB"/>
    <w:rsid w:val="00812C65"/>
    <w:rsid w:val="00824A4C"/>
    <w:rsid w:val="00871694"/>
    <w:rsid w:val="00890A0D"/>
    <w:rsid w:val="00897129"/>
    <w:rsid w:val="008E3C9F"/>
    <w:rsid w:val="0090239B"/>
    <w:rsid w:val="009842BF"/>
    <w:rsid w:val="009F1763"/>
    <w:rsid w:val="009F38F8"/>
    <w:rsid w:val="00A158AF"/>
    <w:rsid w:val="00A50D47"/>
    <w:rsid w:val="00A91EDD"/>
    <w:rsid w:val="00AD5027"/>
    <w:rsid w:val="00AE37DC"/>
    <w:rsid w:val="00AE39CC"/>
    <w:rsid w:val="00B6422F"/>
    <w:rsid w:val="00B72674"/>
    <w:rsid w:val="00BC45C9"/>
    <w:rsid w:val="00C27510"/>
    <w:rsid w:val="00C362BD"/>
    <w:rsid w:val="00C56D4F"/>
    <w:rsid w:val="00CF6BC5"/>
    <w:rsid w:val="00D81D94"/>
    <w:rsid w:val="00DC68B2"/>
    <w:rsid w:val="00E01927"/>
    <w:rsid w:val="00E13AAA"/>
    <w:rsid w:val="00E20E0F"/>
    <w:rsid w:val="00E2668C"/>
    <w:rsid w:val="00E95F25"/>
    <w:rsid w:val="00EA2CC6"/>
    <w:rsid w:val="00EB4EAF"/>
    <w:rsid w:val="00F06561"/>
    <w:rsid w:val="00F91C54"/>
    <w:rsid w:val="00FC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EFFA3E"/>
  <w15:chartTrackingRefBased/>
  <w15:docId w15:val="{0A43614A-B5D0-4682-829F-677733BD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10%20or%2016%20allow%20t%20&amp;%20VL%20or%20M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19F9F-3E7B-426E-BF3E-CF19802E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03-10 or 16 allow t &amp; VL or MC</Template>
  <TotalTime>6</TotalTime>
  <Pages>6</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2023-03-24T00:50:00Z</cp:lastPrinted>
  <dcterms:created xsi:type="dcterms:W3CDTF">2023-03-24T00:55:00Z</dcterms:created>
  <dcterms:modified xsi:type="dcterms:W3CDTF">2023-03-24T00:55:00Z</dcterms:modified>
</cp:coreProperties>
</file>