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BEA" w:rsidRDefault="00CF5BBD" w:rsidP="00F52BEA">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-755015</wp:posOffset>
            </wp:positionH>
            <wp:positionV relativeFrom="paragraph">
              <wp:posOffset>-287020</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BEA" w:rsidRDefault="00F52BEA" w:rsidP="00F52BEA">
      <w:pPr>
        <w:pStyle w:val="Heading3"/>
        <w:widowControl/>
        <w:tabs>
          <w:tab w:val="center" w:pos="4680"/>
        </w:tabs>
        <w:suppressAutoHyphens/>
        <w:rPr>
          <w:rFonts w:ascii="Bookman Old Style" w:hAnsi="Bookman Old Style"/>
        </w:rPr>
      </w:pPr>
    </w:p>
    <w:p w:rsidR="00F52BEA" w:rsidRDefault="00F52BEA" w:rsidP="00F52BEA">
      <w:pPr>
        <w:pStyle w:val="Heading3"/>
        <w:widowControl/>
        <w:tabs>
          <w:tab w:val="center" w:pos="4680"/>
        </w:tabs>
        <w:suppressAutoHyphens/>
        <w:rPr>
          <w:rFonts w:ascii="Bookman Old Style" w:hAnsi="Bookman Old Style"/>
        </w:rPr>
      </w:pPr>
    </w:p>
    <w:p w:rsidR="00F52BEA" w:rsidRDefault="00F52BEA" w:rsidP="00F52BEA">
      <w:pPr>
        <w:pStyle w:val="Heading3"/>
        <w:widowControl/>
        <w:tabs>
          <w:tab w:val="center" w:pos="4680"/>
        </w:tabs>
        <w:suppressAutoHyphens/>
        <w:rPr>
          <w:rFonts w:ascii="Bookman Old Style" w:hAnsi="Bookman Old Style"/>
        </w:rPr>
      </w:pPr>
    </w:p>
    <w:p w:rsidR="00F52BEA" w:rsidRDefault="00F52BEA" w:rsidP="00F52BEA">
      <w:pPr>
        <w:pStyle w:val="Heading3"/>
        <w:widowControl/>
        <w:tabs>
          <w:tab w:val="center" w:pos="4680"/>
        </w:tabs>
        <w:suppressAutoHyphens/>
        <w:rPr>
          <w:rFonts w:ascii="Bookman Old Style" w:hAnsi="Bookman Old Style"/>
        </w:rPr>
      </w:pPr>
    </w:p>
    <w:p w:rsidR="00F52BEA" w:rsidRPr="00E54541" w:rsidRDefault="00F52BEA" w:rsidP="00E54541">
      <w:pPr>
        <w:pStyle w:val="Heading3"/>
        <w:widowControl/>
        <w:tabs>
          <w:tab w:val="center" w:pos="4680"/>
        </w:tabs>
        <w:suppressAutoHyphens/>
        <w:rPr>
          <w:rFonts w:ascii="Bookman Old Style" w:hAnsi="Bookman Old Style"/>
          <w:szCs w:val="24"/>
        </w:rPr>
      </w:pPr>
    </w:p>
    <w:p w:rsidR="00F52BEA" w:rsidRPr="00E54541" w:rsidRDefault="00F52BEA" w:rsidP="00E54541">
      <w:pPr>
        <w:pStyle w:val="Heading3"/>
        <w:widowControl/>
        <w:tabs>
          <w:tab w:val="center" w:pos="4680"/>
        </w:tabs>
        <w:suppressAutoHyphens/>
        <w:rPr>
          <w:rFonts w:ascii="Bookman Old Style" w:hAnsi="Bookman Old Style"/>
          <w:szCs w:val="24"/>
        </w:rPr>
      </w:pPr>
    </w:p>
    <w:p w:rsidR="00F52BEA" w:rsidRPr="00E54541" w:rsidRDefault="00F52BEA" w:rsidP="00E54541">
      <w:pPr>
        <w:widowControl/>
        <w:tabs>
          <w:tab w:val="left" w:pos="-720"/>
        </w:tabs>
        <w:suppressAutoHyphens/>
        <w:rPr>
          <w:rFonts w:ascii="Bookman Old Style" w:hAnsi="Bookman Old Style"/>
          <w:szCs w:val="24"/>
        </w:rPr>
      </w:pPr>
    </w:p>
    <w:p w:rsidR="005A281D" w:rsidRPr="00E54541" w:rsidRDefault="005A281D" w:rsidP="00E54541">
      <w:pPr>
        <w:pStyle w:val="Heading3"/>
        <w:widowControl/>
        <w:tabs>
          <w:tab w:val="center" w:pos="4680"/>
        </w:tabs>
        <w:suppressAutoHyphens/>
        <w:rPr>
          <w:rFonts w:ascii="Bookman Old Style" w:hAnsi="Bookman Old Style"/>
          <w:szCs w:val="24"/>
        </w:rPr>
      </w:pPr>
      <w:r w:rsidRPr="00E54541">
        <w:rPr>
          <w:rFonts w:ascii="Bookman Old Style" w:hAnsi="Bookman Old Style"/>
          <w:szCs w:val="24"/>
        </w:rPr>
        <w:t>APPEAL TRIBUNAL DECISION</w:t>
      </w:r>
    </w:p>
    <w:p w:rsidR="005A281D" w:rsidRPr="00E54541" w:rsidRDefault="005A281D" w:rsidP="00E54541">
      <w:pPr>
        <w:widowControl/>
        <w:tabs>
          <w:tab w:val="left" w:pos="-720"/>
        </w:tabs>
        <w:suppressAutoHyphens/>
        <w:rPr>
          <w:rFonts w:ascii="Bookman Old Style" w:hAnsi="Bookman Old Style"/>
          <w:szCs w:val="24"/>
        </w:rPr>
      </w:pPr>
    </w:p>
    <w:p w:rsidR="005A281D" w:rsidRPr="00E54541" w:rsidRDefault="00581F65" w:rsidP="00E54541">
      <w:pPr>
        <w:widowControl/>
        <w:tabs>
          <w:tab w:val="center" w:pos="4680"/>
        </w:tabs>
        <w:suppressAutoHyphens/>
        <w:jc w:val="center"/>
        <w:outlineLvl w:val="0"/>
        <w:rPr>
          <w:rFonts w:ascii="Bookman Old Style" w:hAnsi="Bookman Old Style"/>
          <w:szCs w:val="24"/>
        </w:rPr>
      </w:pPr>
      <w:r w:rsidRPr="00E54541">
        <w:rPr>
          <w:rFonts w:ascii="Bookman Old Style" w:hAnsi="Bookman Old Style"/>
          <w:b/>
          <w:szCs w:val="24"/>
        </w:rPr>
        <w:t>Docket number:</w:t>
      </w:r>
      <w:r w:rsidR="005A281D" w:rsidRPr="00E54541">
        <w:rPr>
          <w:rFonts w:ascii="Bookman Old Style" w:hAnsi="Bookman Old Style"/>
          <w:szCs w:val="24"/>
        </w:rPr>
        <w:t xml:space="preserve"> </w:t>
      </w:r>
      <w:r w:rsidR="00BA6DD7">
        <w:rPr>
          <w:rFonts w:ascii="Bookman Old Style" w:hAnsi="Bookman Old Style"/>
          <w:szCs w:val="24"/>
        </w:rPr>
        <w:t>19 1036</w:t>
      </w:r>
      <w:r w:rsidR="003115E0" w:rsidRPr="00E54541">
        <w:rPr>
          <w:rFonts w:ascii="Bookman Old Style" w:hAnsi="Bookman Old Style"/>
          <w:szCs w:val="24"/>
        </w:rPr>
        <w:t xml:space="preserve">     </w:t>
      </w:r>
      <w:r w:rsidRPr="00E54541">
        <w:rPr>
          <w:rFonts w:ascii="Bookman Old Style" w:hAnsi="Bookman Old Style"/>
          <w:b/>
          <w:szCs w:val="24"/>
        </w:rPr>
        <w:t>Hearing d</w:t>
      </w:r>
      <w:r w:rsidR="005A281D" w:rsidRPr="00E54541">
        <w:rPr>
          <w:rFonts w:ascii="Bookman Old Style" w:hAnsi="Bookman Old Style"/>
          <w:b/>
          <w:szCs w:val="24"/>
        </w:rPr>
        <w:t>ate:</w:t>
      </w:r>
      <w:r w:rsidR="005A281D" w:rsidRPr="00E54541">
        <w:rPr>
          <w:rFonts w:ascii="Bookman Old Style" w:hAnsi="Bookman Old Style"/>
          <w:szCs w:val="24"/>
        </w:rPr>
        <w:t xml:space="preserve"> </w:t>
      </w:r>
      <w:r w:rsidR="00BA6DD7">
        <w:rPr>
          <w:rFonts w:ascii="Bookman Old Style" w:hAnsi="Bookman Old Style"/>
          <w:szCs w:val="24"/>
        </w:rPr>
        <w:t>November 12, 2019</w:t>
      </w:r>
    </w:p>
    <w:p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rsidR="005A281D" w:rsidRPr="00E54541" w:rsidRDefault="005A281D" w:rsidP="00E54541">
      <w:pPr>
        <w:widowControl/>
        <w:tabs>
          <w:tab w:val="left" w:pos="-1440"/>
          <w:tab w:val="left" w:pos="-720"/>
          <w:tab w:val="left" w:pos="0"/>
          <w:tab w:val="left" w:pos="5760"/>
        </w:tabs>
        <w:suppressAutoHyphens/>
        <w:ind w:right="-360"/>
        <w:outlineLvl w:val="0"/>
        <w:rPr>
          <w:rFonts w:ascii="Bookman Old Style" w:hAnsi="Bookman Old Style"/>
          <w:szCs w:val="24"/>
        </w:rPr>
      </w:pPr>
      <w:r w:rsidRPr="00E54541">
        <w:rPr>
          <w:rFonts w:ascii="Bookman Old Style" w:hAnsi="Bookman Old Style"/>
          <w:b/>
          <w:szCs w:val="24"/>
        </w:rPr>
        <w:t>CLAIMANT:</w:t>
      </w:r>
      <w:r w:rsidR="003C0ED2" w:rsidRPr="00E54541">
        <w:rPr>
          <w:rFonts w:ascii="Bookman Old Style" w:hAnsi="Bookman Old Style"/>
          <w:b/>
          <w:szCs w:val="24"/>
        </w:rPr>
        <w:tab/>
      </w:r>
      <w:r w:rsidR="003E7E91" w:rsidRPr="00E54541">
        <w:rPr>
          <w:rFonts w:ascii="Bookman Old Style" w:hAnsi="Bookman Old Style"/>
          <w:b/>
          <w:szCs w:val="24"/>
        </w:rPr>
        <w:t>EMPLOYER:</w:t>
      </w:r>
    </w:p>
    <w:p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rsidR="00BA6DD7" w:rsidRPr="00BA6DD7" w:rsidRDefault="00BA6DD7" w:rsidP="00BA6DD7">
      <w:pPr>
        <w:widowControl/>
        <w:tabs>
          <w:tab w:val="left" w:pos="-1440"/>
          <w:tab w:val="left" w:pos="-720"/>
          <w:tab w:val="left" w:pos="0"/>
          <w:tab w:val="left" w:pos="5760"/>
        </w:tabs>
        <w:suppressAutoHyphens/>
        <w:ind w:right="-360"/>
        <w:rPr>
          <w:rFonts w:ascii="Bookman Old Style" w:hAnsi="Bookman Old Style"/>
          <w:szCs w:val="24"/>
        </w:rPr>
      </w:pPr>
      <w:r w:rsidRPr="00BA6DD7">
        <w:rPr>
          <w:rFonts w:ascii="Bookman Old Style" w:hAnsi="Bookman Old Style"/>
          <w:szCs w:val="24"/>
        </w:rPr>
        <w:t>JARROD TAYLOR</w:t>
      </w:r>
      <w:r>
        <w:rPr>
          <w:rFonts w:ascii="Bookman Old Style" w:hAnsi="Bookman Old Style"/>
          <w:szCs w:val="24"/>
        </w:rPr>
        <w:tab/>
      </w:r>
      <w:r w:rsidRPr="00BA6DD7">
        <w:rPr>
          <w:rFonts w:ascii="Bookman Old Style" w:hAnsi="Bookman Old Style"/>
          <w:szCs w:val="24"/>
        </w:rPr>
        <w:t>SR BALES CONSTRUCTION INC</w:t>
      </w:r>
    </w:p>
    <w:p w:rsidR="005A281D"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rsidR="00FC6E14" w:rsidRDefault="00FC6E14" w:rsidP="00E54541">
      <w:pPr>
        <w:widowControl/>
        <w:tabs>
          <w:tab w:val="left" w:pos="-1440"/>
          <w:tab w:val="left" w:pos="-720"/>
          <w:tab w:val="left" w:pos="0"/>
          <w:tab w:val="left" w:pos="5760"/>
        </w:tabs>
        <w:suppressAutoHyphens/>
        <w:ind w:right="-360"/>
        <w:rPr>
          <w:rFonts w:ascii="Bookman Old Style" w:hAnsi="Bookman Old Style"/>
          <w:szCs w:val="24"/>
        </w:rPr>
      </w:pPr>
    </w:p>
    <w:p w:rsidR="00FC6E14" w:rsidRDefault="00FC6E14" w:rsidP="00E54541">
      <w:pPr>
        <w:widowControl/>
        <w:tabs>
          <w:tab w:val="left" w:pos="-1440"/>
          <w:tab w:val="left" w:pos="-720"/>
          <w:tab w:val="left" w:pos="0"/>
          <w:tab w:val="left" w:pos="5760"/>
        </w:tabs>
        <w:suppressAutoHyphens/>
        <w:ind w:right="-360"/>
        <w:rPr>
          <w:rFonts w:ascii="Bookman Old Style" w:hAnsi="Bookman Old Style"/>
          <w:szCs w:val="24"/>
        </w:rPr>
      </w:pPr>
    </w:p>
    <w:p w:rsidR="00FC6E14" w:rsidRPr="00E54541" w:rsidRDefault="00FC6E14" w:rsidP="00E54541">
      <w:pPr>
        <w:widowControl/>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r w:rsidRPr="00E54541">
        <w:rPr>
          <w:rFonts w:ascii="Bookman Old Style" w:hAnsi="Bookman Old Style"/>
          <w:b/>
          <w:szCs w:val="24"/>
        </w:rPr>
        <w:t>CLAIMANT APPEARANCES:</w:t>
      </w:r>
      <w:r w:rsidRPr="00E54541">
        <w:rPr>
          <w:rFonts w:ascii="Bookman Old Style" w:hAnsi="Bookman Old Style"/>
          <w:b/>
          <w:szCs w:val="24"/>
        </w:rPr>
        <w:tab/>
        <w:t>E</w:t>
      </w:r>
      <w:r w:rsidR="003E7E91" w:rsidRPr="00E54541">
        <w:rPr>
          <w:rFonts w:ascii="Bookman Old Style" w:hAnsi="Bookman Old Style"/>
          <w:b/>
          <w:szCs w:val="24"/>
        </w:rPr>
        <w:t>MPLOYER</w:t>
      </w:r>
      <w:r w:rsidRPr="00E54541">
        <w:rPr>
          <w:rFonts w:ascii="Bookman Old Style" w:hAnsi="Bookman Old Style"/>
          <w:b/>
          <w:szCs w:val="24"/>
        </w:rPr>
        <w:t xml:space="preserve"> APPEARANCES:</w:t>
      </w:r>
    </w:p>
    <w:p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rsidR="005A281D" w:rsidRPr="00E54541" w:rsidRDefault="00BA6DD7" w:rsidP="00E54541">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Jarrod Taylor</w:t>
      </w:r>
      <w:r w:rsidR="003E7E91" w:rsidRPr="00E54541">
        <w:rPr>
          <w:rFonts w:ascii="Bookman Old Style" w:hAnsi="Bookman Old Style"/>
          <w:szCs w:val="24"/>
        </w:rPr>
        <w:tab/>
      </w:r>
      <w:r>
        <w:rPr>
          <w:rFonts w:ascii="Bookman Old Style" w:hAnsi="Bookman Old Style"/>
          <w:szCs w:val="24"/>
        </w:rPr>
        <w:t>None</w:t>
      </w:r>
    </w:p>
    <w:p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CASE HISTORY</w:t>
      </w:r>
    </w:p>
    <w:p w:rsidR="005A281D" w:rsidRPr="00E54541" w:rsidRDefault="005A281D" w:rsidP="00E54541">
      <w:pPr>
        <w:tabs>
          <w:tab w:val="left" w:pos="-1440"/>
          <w:tab w:val="left" w:pos="-720"/>
        </w:tabs>
        <w:rPr>
          <w:rFonts w:ascii="Bookman Old Style" w:hAnsi="Bookman Old Style"/>
          <w:szCs w:val="24"/>
        </w:rPr>
      </w:pPr>
    </w:p>
    <w:p w:rsidR="005A281D" w:rsidRPr="00BA6DD7" w:rsidRDefault="00C035D6" w:rsidP="00BA6DD7">
      <w:pPr>
        <w:widowControl/>
        <w:spacing w:after="200"/>
        <w:rPr>
          <w:rFonts w:ascii="Bookman Old Style" w:hAnsi="Bookman Old Style"/>
          <w:snapToGrid/>
          <w:szCs w:val="24"/>
        </w:rPr>
      </w:pPr>
      <w:r w:rsidRPr="00E54541">
        <w:rPr>
          <w:rFonts w:ascii="Bookman Old Style" w:hAnsi="Bookman Old Style"/>
          <w:snapToGrid/>
          <w:szCs w:val="24"/>
        </w:rPr>
        <w:t xml:space="preserve">The </w:t>
      </w:r>
      <w:r w:rsidR="00BA6DD7">
        <w:rPr>
          <w:rFonts w:ascii="Bookman Old Style" w:hAnsi="Bookman Old Style"/>
          <w:szCs w:val="24"/>
        </w:rPr>
        <w:t>claimant</w:t>
      </w:r>
      <w:r w:rsidR="008516EC">
        <w:rPr>
          <w:rFonts w:ascii="Bookman Old Style" w:hAnsi="Bookman Old Style"/>
          <w:szCs w:val="24"/>
        </w:rPr>
        <w:t xml:space="preserve"> </w:t>
      </w:r>
      <w:r w:rsidRPr="00E54541">
        <w:rPr>
          <w:rFonts w:ascii="Bookman Old Style" w:hAnsi="Bookman Old Style"/>
          <w:snapToGrid/>
          <w:szCs w:val="24"/>
        </w:rPr>
        <w:t>timely appealed a</w:t>
      </w:r>
      <w:r w:rsidR="00BA6DD7">
        <w:rPr>
          <w:rFonts w:ascii="Bookman Old Style" w:hAnsi="Bookman Old Style"/>
          <w:snapToGrid/>
          <w:szCs w:val="24"/>
        </w:rPr>
        <w:t>n October 16, 2019</w:t>
      </w:r>
      <w:r w:rsidRPr="00E54541">
        <w:rPr>
          <w:rFonts w:ascii="Bookman Old Style" w:hAnsi="Bookman Old Style"/>
          <w:snapToGrid/>
          <w:szCs w:val="24"/>
        </w:rPr>
        <w:t xml:space="preserve"> determination which denied benefits under Alaska Statute 23.20.379. The issue before the Appeal Tribunal is whether the claimant voluntarily quit suitable work without good cause or was discharged for misconduct connected with the work.</w:t>
      </w:r>
    </w:p>
    <w:p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FINDINGS OF FACT</w:t>
      </w:r>
    </w:p>
    <w:p w:rsidR="005A281D" w:rsidRPr="00E54541" w:rsidRDefault="005A281D" w:rsidP="00E54541">
      <w:pPr>
        <w:tabs>
          <w:tab w:val="left" w:pos="-1440"/>
          <w:tab w:val="left" w:pos="-720"/>
        </w:tabs>
        <w:rPr>
          <w:rFonts w:ascii="Bookman Old Style" w:hAnsi="Bookman Old Style"/>
          <w:szCs w:val="24"/>
        </w:rPr>
      </w:pPr>
    </w:p>
    <w:p w:rsidR="00C035D6" w:rsidRDefault="00C035D6" w:rsidP="00E54541">
      <w:pPr>
        <w:widowControl/>
        <w:tabs>
          <w:tab w:val="left" w:pos="-1440"/>
          <w:tab w:val="left" w:pos="-720"/>
        </w:tabs>
        <w:suppressAutoHyphens/>
        <w:spacing w:after="200"/>
        <w:ind w:right="-360"/>
        <w:rPr>
          <w:rFonts w:ascii="Bookman Old Style" w:hAnsi="Bookman Old Style"/>
          <w:snapToGrid/>
          <w:szCs w:val="24"/>
        </w:rPr>
      </w:pPr>
      <w:r w:rsidRPr="00E54541">
        <w:rPr>
          <w:rFonts w:ascii="Bookman Old Style" w:hAnsi="Bookman Old Style"/>
          <w:snapToGrid/>
          <w:szCs w:val="24"/>
        </w:rPr>
        <w:t xml:space="preserve">The claimant began work for the employer on </w:t>
      </w:r>
      <w:r w:rsidR="00BA6DD7">
        <w:rPr>
          <w:rFonts w:ascii="Bookman Old Style" w:hAnsi="Bookman Old Style"/>
          <w:snapToGrid/>
          <w:szCs w:val="24"/>
        </w:rPr>
        <w:t>about August 30, 2019</w:t>
      </w:r>
      <w:r w:rsidRPr="00E54541">
        <w:rPr>
          <w:rFonts w:ascii="Bookman Old Style" w:hAnsi="Bookman Old Style"/>
          <w:snapToGrid/>
          <w:szCs w:val="24"/>
        </w:rPr>
        <w:t xml:space="preserve">. </w:t>
      </w:r>
      <w:r w:rsidR="00BA6DD7">
        <w:rPr>
          <w:rFonts w:ascii="Bookman Old Style" w:hAnsi="Bookman Old Style"/>
          <w:snapToGrid/>
          <w:szCs w:val="24"/>
        </w:rPr>
        <w:t>He</w:t>
      </w:r>
      <w:r w:rsidRPr="00E54541">
        <w:rPr>
          <w:rFonts w:ascii="Bookman Old Style" w:hAnsi="Bookman Old Style"/>
          <w:snapToGrid/>
          <w:szCs w:val="24"/>
        </w:rPr>
        <w:t xml:space="preserve"> last worked on </w:t>
      </w:r>
      <w:r w:rsidR="00BA6DD7">
        <w:rPr>
          <w:rFonts w:ascii="Bookman Old Style" w:hAnsi="Bookman Old Style"/>
          <w:snapToGrid/>
          <w:szCs w:val="24"/>
        </w:rPr>
        <w:t>September 28, 2019</w:t>
      </w:r>
      <w:r w:rsidRPr="00E54541">
        <w:rPr>
          <w:rFonts w:ascii="Bookman Old Style" w:hAnsi="Bookman Old Style"/>
          <w:snapToGrid/>
          <w:szCs w:val="24"/>
        </w:rPr>
        <w:t xml:space="preserve">. At that time, </w:t>
      </w:r>
      <w:r w:rsidR="00BA6DD7">
        <w:rPr>
          <w:rFonts w:ascii="Bookman Old Style" w:hAnsi="Bookman Old Style"/>
          <w:snapToGrid/>
          <w:szCs w:val="24"/>
        </w:rPr>
        <w:t>he</w:t>
      </w:r>
      <w:r w:rsidRPr="00E54541">
        <w:rPr>
          <w:rFonts w:ascii="Bookman Old Style" w:hAnsi="Bookman Old Style"/>
          <w:snapToGrid/>
          <w:szCs w:val="24"/>
        </w:rPr>
        <w:t xml:space="preserve"> worked </w:t>
      </w:r>
      <w:r w:rsidR="00BA6DD7">
        <w:rPr>
          <w:rFonts w:ascii="Bookman Old Style" w:hAnsi="Bookman Old Style"/>
          <w:snapToGrid/>
          <w:szCs w:val="24"/>
        </w:rPr>
        <w:t>full time</w:t>
      </w:r>
      <w:r w:rsidRPr="00E54541">
        <w:rPr>
          <w:rFonts w:ascii="Bookman Old Style" w:hAnsi="Bookman Old Style"/>
          <w:snapToGrid/>
          <w:szCs w:val="24"/>
        </w:rPr>
        <w:t xml:space="preserve"> as a </w:t>
      </w:r>
      <w:r w:rsidR="00BA6DD7">
        <w:rPr>
          <w:rFonts w:ascii="Bookman Old Style" w:hAnsi="Bookman Old Style"/>
          <w:snapToGrid/>
          <w:szCs w:val="24"/>
        </w:rPr>
        <w:t>truck driver</w:t>
      </w:r>
      <w:r w:rsidRPr="00E54541">
        <w:rPr>
          <w:rFonts w:ascii="Bookman Old Style" w:hAnsi="Bookman Old Style"/>
          <w:snapToGrid/>
          <w:szCs w:val="24"/>
        </w:rPr>
        <w:t>.</w:t>
      </w:r>
    </w:p>
    <w:p w:rsidR="00BA6DD7" w:rsidRDefault="00BA6DD7"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The claimant consumed alcohol on September 29, 2019 and he was arrested and charged with driving under the influence in the early morning hours of</w:t>
      </w:r>
      <w:r w:rsidR="000D1F0A">
        <w:rPr>
          <w:rFonts w:ascii="Bookman Old Style" w:hAnsi="Bookman Old Style"/>
          <w:snapToGrid/>
          <w:szCs w:val="24"/>
        </w:rPr>
        <w:t xml:space="preserve">     </w:t>
      </w:r>
      <w:r>
        <w:rPr>
          <w:rFonts w:ascii="Bookman Old Style" w:hAnsi="Bookman Old Style"/>
          <w:snapToGrid/>
          <w:szCs w:val="24"/>
        </w:rPr>
        <w:t xml:space="preserve"> September 30, 2019. The claimant had waited for a </w:t>
      </w:r>
      <w:r w:rsidR="00566A32">
        <w:rPr>
          <w:rFonts w:ascii="Bookman Old Style" w:hAnsi="Bookman Old Style"/>
          <w:snapToGrid/>
          <w:szCs w:val="24"/>
        </w:rPr>
        <w:t>time</w:t>
      </w:r>
      <w:r>
        <w:rPr>
          <w:rFonts w:ascii="Bookman Old Style" w:hAnsi="Bookman Old Style"/>
          <w:snapToGrid/>
          <w:szCs w:val="24"/>
        </w:rPr>
        <w:t xml:space="preserve"> after he stopped consuming alcohol and he believed he was okay to drive. The claimant was processed and was released in time to attend work that day.  </w:t>
      </w:r>
    </w:p>
    <w:p w:rsidR="00FE777E" w:rsidRDefault="00566A32"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When he arrived at work, t</w:t>
      </w:r>
      <w:r w:rsidR="00BA6DD7">
        <w:rPr>
          <w:rFonts w:ascii="Bookman Old Style" w:hAnsi="Bookman Old Style"/>
          <w:snapToGrid/>
          <w:szCs w:val="24"/>
        </w:rPr>
        <w:t>he claimant told the employer that his commercial driver’s license was suspended.  The claimant could not work as a truck driver without his license and he does not know when he might get that license back. The employer did not have any other work th</w:t>
      </w:r>
      <w:r w:rsidR="00FE777E">
        <w:rPr>
          <w:rFonts w:ascii="Bookman Old Style" w:hAnsi="Bookman Old Style"/>
          <w:snapToGrid/>
          <w:szCs w:val="24"/>
        </w:rPr>
        <w:t>e claimant could perform</w:t>
      </w:r>
      <w:r w:rsidR="00BA6DD7">
        <w:rPr>
          <w:rFonts w:ascii="Bookman Old Style" w:hAnsi="Bookman Old Style"/>
          <w:snapToGrid/>
          <w:szCs w:val="24"/>
        </w:rPr>
        <w:t>.</w:t>
      </w:r>
    </w:p>
    <w:p w:rsidR="00BA6DD7" w:rsidRPr="00E54541" w:rsidRDefault="00BA6DD7"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 </w:t>
      </w:r>
    </w:p>
    <w:p w:rsidR="005A281D" w:rsidRPr="00E54541" w:rsidRDefault="005A281D" w:rsidP="00E54541">
      <w:pPr>
        <w:tabs>
          <w:tab w:val="left" w:pos="-1440"/>
          <w:tab w:val="left" w:pos="-720"/>
        </w:tabs>
        <w:rPr>
          <w:rFonts w:ascii="Bookman Old Style" w:hAnsi="Bookman Old Style"/>
          <w:szCs w:val="24"/>
        </w:rPr>
      </w:pPr>
    </w:p>
    <w:p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lastRenderedPageBreak/>
        <w:t>PROVISIONS OF LAW</w:t>
      </w:r>
    </w:p>
    <w:p w:rsidR="005A281D" w:rsidRPr="00E54541" w:rsidRDefault="005A281D" w:rsidP="00E54541">
      <w:pPr>
        <w:tabs>
          <w:tab w:val="left" w:pos="-1440"/>
          <w:tab w:val="left" w:pos="-720"/>
        </w:tabs>
        <w:rPr>
          <w:rFonts w:ascii="Bookman Old Style" w:hAnsi="Bookman Old Style"/>
          <w:szCs w:val="24"/>
        </w:rPr>
      </w:pPr>
    </w:p>
    <w:p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AS 23.20.379 provides in part:</w:t>
      </w:r>
    </w:p>
    <w:p w:rsidR="00600E6C" w:rsidRPr="00E54541" w:rsidRDefault="00600E6C" w:rsidP="00E54541">
      <w:pPr>
        <w:tabs>
          <w:tab w:val="left" w:pos="-1440"/>
          <w:tab w:val="left" w:pos="-720"/>
          <w:tab w:val="left" w:pos="0"/>
          <w:tab w:val="left" w:pos="720"/>
        </w:tabs>
        <w:suppressAutoHyphens/>
        <w:ind w:right="-360"/>
        <w:rPr>
          <w:rFonts w:ascii="Bookman Old Style" w:hAnsi="Bookman Old Style"/>
          <w:szCs w:val="24"/>
        </w:rPr>
      </w:pPr>
      <w:r w:rsidRPr="00E54541">
        <w:rPr>
          <w:rFonts w:ascii="Bookman Old Style" w:hAnsi="Bookman Old Style"/>
          <w:szCs w:val="24"/>
        </w:rPr>
        <w:tab/>
      </w:r>
    </w:p>
    <w:p w:rsidR="00600E6C" w:rsidRPr="00E54541" w:rsidRDefault="00600E6C" w:rsidP="00E54541">
      <w:pPr>
        <w:tabs>
          <w:tab w:val="left" w:pos="-1440"/>
          <w:tab w:val="left" w:pos="-720"/>
          <w:tab w:val="left" w:pos="0"/>
          <w:tab w:val="left" w:pos="1440"/>
        </w:tabs>
        <w:suppressAutoHyphens/>
        <w:ind w:left="1440" w:right="-360" w:hanging="720"/>
        <w:rPr>
          <w:rFonts w:ascii="Bookman Old Style" w:hAnsi="Bookman Old Style"/>
          <w:szCs w:val="24"/>
        </w:rPr>
      </w:pPr>
      <w:r w:rsidRPr="00E54541">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rsidR="00600E6C" w:rsidRPr="00E54541" w:rsidRDefault="005D5061" w:rsidP="005D5061">
      <w:pPr>
        <w:tabs>
          <w:tab w:val="left" w:pos="-1440"/>
          <w:tab w:val="left" w:pos="-720"/>
          <w:tab w:val="left" w:pos="90"/>
          <w:tab w:val="left" w:pos="720"/>
          <w:tab w:val="left" w:pos="1440"/>
          <w:tab w:val="left" w:pos="2250"/>
        </w:tabs>
        <w:suppressAutoHyphens/>
        <w:ind w:left="2250" w:right="-360" w:hanging="270"/>
        <w:rPr>
          <w:rFonts w:ascii="Bookman Old Style" w:hAnsi="Bookman Old Style"/>
          <w:szCs w:val="24"/>
        </w:rPr>
      </w:pPr>
      <w:r>
        <w:rPr>
          <w:rFonts w:ascii="Bookman Old Style" w:hAnsi="Bookman Old Style"/>
          <w:szCs w:val="24"/>
        </w:rPr>
        <w:t>1)</w:t>
      </w:r>
      <w:r>
        <w:rPr>
          <w:rFonts w:ascii="Bookman Old Style" w:hAnsi="Bookman Old Style"/>
          <w:szCs w:val="24"/>
        </w:rPr>
        <w:tab/>
      </w:r>
      <w:r w:rsidR="00600E6C" w:rsidRPr="00E54541">
        <w:rPr>
          <w:rFonts w:ascii="Bookman Old Style" w:hAnsi="Bookman Old Style"/>
          <w:szCs w:val="24"/>
        </w:rPr>
        <w:t>left the insured worker's last suitable work voluntarily without  good cause....</w:t>
      </w:r>
    </w:p>
    <w:p w:rsidR="00600E6C" w:rsidRPr="00E54541" w:rsidRDefault="005D5061" w:rsidP="005D5061">
      <w:pPr>
        <w:tabs>
          <w:tab w:val="left" w:pos="-1440"/>
          <w:tab w:val="left" w:pos="-720"/>
          <w:tab w:val="left" w:pos="90"/>
          <w:tab w:val="left" w:pos="720"/>
          <w:tab w:val="left" w:pos="2250"/>
        </w:tabs>
        <w:ind w:left="2250" w:hanging="270"/>
        <w:rPr>
          <w:rFonts w:ascii="Bookman Old Style" w:hAnsi="Bookman Old Style"/>
          <w:szCs w:val="24"/>
        </w:rPr>
      </w:pPr>
      <w:r>
        <w:rPr>
          <w:rFonts w:ascii="Bookman Old Style" w:hAnsi="Bookman Old Style"/>
          <w:szCs w:val="24"/>
        </w:rPr>
        <w:t>2)</w:t>
      </w:r>
      <w:r>
        <w:rPr>
          <w:rFonts w:ascii="Bookman Old Style" w:hAnsi="Bookman Old Style"/>
          <w:szCs w:val="24"/>
        </w:rPr>
        <w:tab/>
      </w:r>
      <w:r w:rsidR="00600E6C" w:rsidRPr="00E54541">
        <w:rPr>
          <w:rFonts w:ascii="Bookman Old Style" w:hAnsi="Bookman Old Style"/>
          <w:szCs w:val="24"/>
        </w:rPr>
        <w:t xml:space="preserve">was discharged for misconduct connected with the insured                               </w:t>
      </w:r>
      <w:r w:rsidR="00E54541">
        <w:rPr>
          <w:rFonts w:ascii="Bookman Old Style" w:hAnsi="Bookman Old Style"/>
          <w:szCs w:val="24"/>
        </w:rPr>
        <w:t xml:space="preserve"> </w:t>
      </w:r>
      <w:r w:rsidR="00600E6C" w:rsidRPr="00E54541">
        <w:rPr>
          <w:rFonts w:ascii="Bookman Old Style" w:hAnsi="Bookman Old Style"/>
          <w:szCs w:val="24"/>
        </w:rPr>
        <w:t>worker's last work.</w:t>
      </w:r>
    </w:p>
    <w:p w:rsidR="00600E6C" w:rsidRPr="00E54541" w:rsidRDefault="00600E6C" w:rsidP="00E54541">
      <w:pPr>
        <w:tabs>
          <w:tab w:val="left" w:pos="-1440"/>
          <w:tab w:val="left" w:pos="-720"/>
        </w:tabs>
        <w:rPr>
          <w:rFonts w:ascii="Bookman Old Style" w:hAnsi="Bookman Old Style"/>
          <w:szCs w:val="24"/>
        </w:rPr>
      </w:pPr>
    </w:p>
    <w:p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8 AAC 85.095 provides in part:</w:t>
      </w:r>
    </w:p>
    <w:p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p>
    <w:p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(c) </w:t>
      </w:r>
      <w:r w:rsidRPr="00E54541">
        <w:rPr>
          <w:rFonts w:ascii="Bookman Old Style" w:hAnsi="Bookman Old Style"/>
          <w:snapToGrid/>
          <w:szCs w:val="24"/>
        </w:rPr>
        <w:tab/>
        <w:t xml:space="preserve">To determine the existence of good cause under AS 23.20.379(a)(1) for voluntarily leaving work determined to be suitable under </w:t>
      </w:r>
    </w:p>
    <w:p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AS 23.20.385, the department will consider only the following factors:</w:t>
      </w:r>
    </w:p>
    <w:p w:rsidR="00600E6C" w:rsidRPr="00E54541" w:rsidRDefault="00600E6C" w:rsidP="00E54541">
      <w:pPr>
        <w:widowControl/>
        <w:autoSpaceDE w:val="0"/>
        <w:autoSpaceDN w:val="0"/>
        <w:adjustRightInd w:val="0"/>
        <w:ind w:left="1440" w:hanging="720"/>
        <w:rPr>
          <w:rFonts w:ascii="Bookman Old Style" w:hAnsi="Bookman Old Style"/>
          <w:snapToGrid/>
          <w:szCs w:val="24"/>
        </w:rPr>
      </w:pPr>
    </w:p>
    <w:p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(1) </w:t>
      </w:r>
      <w:r w:rsidRPr="00E54541">
        <w:rPr>
          <w:rFonts w:ascii="Bookman Old Style" w:hAnsi="Bookman Old Style"/>
          <w:snapToGrid/>
          <w:szCs w:val="24"/>
        </w:rPr>
        <w:tab/>
        <w:t>leaving work due to a disability or illness of the claimant that makes it impossible for the claimant to perform the duties required by the work, if the claimant has no other reasonable alternative but to leave work;</w:t>
      </w:r>
    </w:p>
    <w:p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(2) </w:t>
      </w:r>
      <w:r w:rsidRPr="00E54541">
        <w:rPr>
          <w:rFonts w:ascii="Bookman Old Style" w:hAnsi="Bookman Old Style"/>
          <w:snapToGrid/>
          <w:szCs w:val="24"/>
        </w:rPr>
        <w:tab/>
        <w:t>leaving work to care for an immediate family member who has a disability or illness;</w:t>
      </w:r>
    </w:p>
    <w:p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(3) </w:t>
      </w:r>
      <w:r w:rsidRPr="00E54541">
        <w:rPr>
          <w:rFonts w:ascii="Bookman Old Style" w:hAnsi="Bookman Old Style"/>
          <w:snapToGrid/>
          <w:szCs w:val="24"/>
        </w:rPr>
        <w:tab/>
        <w:t>leaving work due to safety or other working conditions or an employment agreement related directly to the work, if the claimant has no other reasonable alternative but to leave work;</w:t>
      </w:r>
    </w:p>
    <w:p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(4) </w:t>
      </w:r>
      <w:r w:rsidRPr="00E54541">
        <w:rPr>
          <w:rFonts w:ascii="Bookman Old Style" w:hAnsi="Bookman Old Style"/>
          <w:snapToGrid/>
          <w:szCs w:val="24"/>
        </w:rPr>
        <w:tab/>
        <w:t>leaving work to accompany or join a spouse at a change of location, if commuting from the new location to the claimant’s work is impractical; for purposes of this paragraph, the change of location must be as a result of the spouse’s</w:t>
      </w:r>
    </w:p>
    <w:p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(A) discharge from military service; or</w:t>
      </w:r>
    </w:p>
    <w:p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(B) employment;</w:t>
      </w:r>
    </w:p>
    <w:p w:rsidR="00600E6C" w:rsidRPr="00E54541" w:rsidRDefault="00600E6C" w:rsidP="0047053D">
      <w:pPr>
        <w:widowControl/>
        <w:autoSpaceDE w:val="0"/>
        <w:autoSpaceDN w:val="0"/>
        <w:adjustRightInd w:val="0"/>
        <w:ind w:left="2160" w:hanging="660"/>
        <w:rPr>
          <w:rFonts w:ascii="Bookman Old Style" w:hAnsi="Bookman Old Style"/>
          <w:snapToGrid/>
          <w:szCs w:val="24"/>
        </w:rPr>
      </w:pPr>
      <w:r w:rsidRPr="00E54541">
        <w:rPr>
          <w:rFonts w:ascii="Bookman Old Style" w:hAnsi="Bookman Old Style"/>
          <w:snapToGrid/>
          <w:szCs w:val="24"/>
        </w:rPr>
        <w:t xml:space="preserve">(5) </w:t>
      </w:r>
      <w:r w:rsidRPr="00E54541">
        <w:rPr>
          <w:rFonts w:ascii="Bookman Old Style" w:hAnsi="Bookman Old Style"/>
          <w:snapToGrid/>
          <w:szCs w:val="24"/>
        </w:rPr>
        <w:tab/>
        <w:t>leaving unskilled work to attend a vocational training or retraining course approved by the director under AS 23.20.382, only if the claimant enters the course immediately upon separating from work;</w:t>
      </w:r>
    </w:p>
    <w:p w:rsidR="00600E6C" w:rsidRPr="00E54541" w:rsidRDefault="0047053D" w:rsidP="0047053D">
      <w:pPr>
        <w:widowControl/>
        <w:autoSpaceDE w:val="0"/>
        <w:autoSpaceDN w:val="0"/>
        <w:adjustRightInd w:val="0"/>
        <w:ind w:left="2160" w:hanging="72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r w:rsidR="00600E6C" w:rsidRPr="00E54541">
        <w:rPr>
          <w:rFonts w:ascii="Bookman Old Style" w:hAnsi="Bookman Old Style"/>
          <w:snapToGrid/>
          <w:szCs w:val="24"/>
        </w:rPr>
        <w:t>leaving work in order to protect the claimant or the               claimant’s immediate family members from harassment or    violence;</w:t>
      </w:r>
    </w:p>
    <w:p w:rsidR="00600E6C" w:rsidRPr="00E54541" w:rsidRDefault="00600E6C" w:rsidP="005D5061">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lastRenderedPageBreak/>
        <w:t>(7)</w:t>
      </w:r>
      <w:r w:rsidRPr="00E54541">
        <w:rPr>
          <w:rFonts w:ascii="Bookman Old Style" w:hAnsi="Bookman Old Style"/>
          <w:snapToGrid/>
          <w:szCs w:val="24"/>
        </w:rPr>
        <w:tab/>
        <w:t xml:space="preserve">leaving work to accept a bonafide offer of </w:t>
      </w:r>
      <w:r w:rsidR="0047053D">
        <w:rPr>
          <w:rFonts w:ascii="Bookman Old Style" w:hAnsi="Bookman Old Style"/>
          <w:snapToGrid/>
          <w:szCs w:val="24"/>
        </w:rPr>
        <w:t xml:space="preserve">work that offers               </w:t>
      </w:r>
      <w:r w:rsidRPr="00E54541">
        <w:rPr>
          <w:rFonts w:ascii="Bookman Old Style" w:hAnsi="Bookman Old Style"/>
          <w:snapToGrid/>
          <w:szCs w:val="24"/>
        </w:rPr>
        <w:t>better wages, benefits, hours, or other w</w:t>
      </w:r>
      <w:r w:rsidR="0047053D">
        <w:rPr>
          <w:rFonts w:ascii="Bookman Old Style" w:hAnsi="Bookman Old Style"/>
          <w:snapToGrid/>
          <w:szCs w:val="24"/>
        </w:rPr>
        <w:t xml:space="preserve">orking conditions; if          </w:t>
      </w:r>
      <w:r w:rsidRPr="00E54541">
        <w:rPr>
          <w:rFonts w:ascii="Bookman Old Style" w:hAnsi="Bookman Old Style"/>
          <w:snapToGrid/>
          <w:szCs w:val="24"/>
        </w:rPr>
        <w:t xml:space="preserve">the new work does not materialize, the reasons for the work           not materializing must not be due to the fault of the worker; </w:t>
      </w:r>
    </w:p>
    <w:p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(8)</w:t>
      </w:r>
      <w:r w:rsidRPr="00E54541">
        <w:rPr>
          <w:rFonts w:ascii="Bookman Old Style" w:hAnsi="Bookman Old Style"/>
          <w:snapToGrid/>
          <w:szCs w:val="24"/>
        </w:rPr>
        <w:tab/>
        <w:t>other factors listed in AS 23.20.385(b).</w:t>
      </w:r>
    </w:p>
    <w:p w:rsidR="00600E6C" w:rsidRPr="00E54541" w:rsidRDefault="00600E6C" w:rsidP="00E54541">
      <w:pPr>
        <w:tabs>
          <w:tab w:val="left" w:pos="-1440"/>
          <w:tab w:val="left" w:pos="-720"/>
        </w:tabs>
        <w:rPr>
          <w:rFonts w:ascii="Bookman Old Style" w:hAnsi="Bookman Old Style"/>
          <w:szCs w:val="24"/>
        </w:rPr>
      </w:pPr>
    </w:p>
    <w:p w:rsidR="00600E6C" w:rsidRPr="00E54541" w:rsidRDefault="00600E6C" w:rsidP="00E54541">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napToGrid/>
          <w:szCs w:val="24"/>
        </w:rPr>
        <w:tab/>
      </w:r>
      <w:r w:rsidRPr="00E54541">
        <w:rPr>
          <w:rFonts w:ascii="Bookman Old Style" w:hAnsi="Bookman Old Style"/>
          <w:szCs w:val="24"/>
        </w:rPr>
        <w:t xml:space="preserve">(d)     "Misconduct connected with the insured worker's work" as used in </w:t>
      </w:r>
    </w:p>
    <w:p w:rsidR="00600E6C" w:rsidRPr="00E54541" w:rsidRDefault="00600E6C" w:rsidP="00E54541">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zCs w:val="24"/>
        </w:rPr>
        <w:t xml:space="preserve">                   AS 23.20.379(a)(2) means</w:t>
      </w:r>
    </w:p>
    <w:p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szCs w:val="24"/>
        </w:rPr>
      </w:pPr>
    </w:p>
    <w:p w:rsidR="00600E6C" w:rsidRPr="00E54541" w:rsidRDefault="00600E6C" w:rsidP="00E54541">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(1)      a claimant's conduct on the job, if the conduct shows a willful and wanton disregard of the employer's interest, as a claimant might show, for example, through gross or repeated negligence, willful violation of reasonable work rules, or deliberate violation or disregard of standards of behavior that the employer has the right to expect of an employee; willful and wanton disregard of the employer's interest does not arise solely from inefficiency, unsatisfactory performance as the result of inability or incapacity, inadvertence, ordinary negligence in isolated instances, or good faith errors in judgment or discretion....</w:t>
      </w:r>
    </w:p>
    <w:p w:rsidR="00600E6C" w:rsidRPr="00E54541" w:rsidRDefault="00600E6C" w:rsidP="00E54541">
      <w:pPr>
        <w:widowControl/>
        <w:autoSpaceDE w:val="0"/>
        <w:autoSpaceDN w:val="0"/>
        <w:adjustRightInd w:val="0"/>
        <w:rPr>
          <w:rFonts w:ascii="Bookman Old Style" w:hAnsi="Bookman Old Style"/>
          <w:b/>
          <w:snapToGrid/>
          <w:szCs w:val="24"/>
        </w:rPr>
      </w:pPr>
    </w:p>
    <w:p w:rsidR="00600E6C" w:rsidRPr="00E54541" w:rsidRDefault="00600E6C" w:rsidP="00E54541">
      <w:pPr>
        <w:widowControl/>
        <w:autoSpaceDE w:val="0"/>
        <w:autoSpaceDN w:val="0"/>
        <w:adjustRightInd w:val="0"/>
        <w:rPr>
          <w:rFonts w:ascii="Bookman Old Style" w:hAnsi="Bookman Old Style"/>
          <w:b/>
          <w:snapToGrid/>
          <w:szCs w:val="24"/>
        </w:rPr>
      </w:pPr>
      <w:r w:rsidRPr="00E54541">
        <w:rPr>
          <w:rFonts w:ascii="Bookman Old Style" w:hAnsi="Bookman Old Style"/>
          <w:b/>
          <w:snapToGrid/>
          <w:szCs w:val="24"/>
        </w:rPr>
        <w:t>AS 23.20.385(b) provides, in part:</w:t>
      </w:r>
    </w:p>
    <w:p w:rsidR="00600E6C" w:rsidRPr="00E54541" w:rsidRDefault="00600E6C" w:rsidP="00E54541">
      <w:pPr>
        <w:widowControl/>
        <w:autoSpaceDE w:val="0"/>
        <w:autoSpaceDN w:val="0"/>
        <w:adjustRightInd w:val="0"/>
        <w:rPr>
          <w:rFonts w:ascii="Bookman Old Style" w:hAnsi="Bookman Old Style"/>
          <w:snapToGrid/>
          <w:szCs w:val="24"/>
        </w:rPr>
      </w:pPr>
    </w:p>
    <w:p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(b) </w:t>
      </w:r>
      <w:r w:rsidRPr="00E54541">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other factors that influence a reasonably prudent person in the claimant's circumstances.</w:t>
      </w:r>
    </w:p>
    <w:p w:rsidR="00600E6C" w:rsidRPr="00E54541" w:rsidRDefault="00600E6C" w:rsidP="00E54541">
      <w:pPr>
        <w:rPr>
          <w:rFonts w:ascii="Bookman Old Style" w:hAnsi="Bookman Old Style"/>
          <w:szCs w:val="24"/>
        </w:rPr>
      </w:pPr>
    </w:p>
    <w:p w:rsidR="005A281D" w:rsidRPr="00E54541" w:rsidRDefault="00600E6C" w:rsidP="00E54541">
      <w:pPr>
        <w:pStyle w:val="Heading4"/>
        <w:jc w:val="center"/>
        <w:rPr>
          <w:rFonts w:ascii="Bookman Old Style" w:hAnsi="Bookman Old Style"/>
          <w:szCs w:val="24"/>
        </w:rPr>
      </w:pPr>
      <w:r w:rsidRPr="00E54541">
        <w:rPr>
          <w:rFonts w:ascii="Bookman Old Style" w:hAnsi="Bookman Old Style"/>
          <w:szCs w:val="24"/>
        </w:rPr>
        <w:t>C</w:t>
      </w:r>
      <w:r w:rsidR="005A281D" w:rsidRPr="00E54541">
        <w:rPr>
          <w:rFonts w:ascii="Bookman Old Style" w:hAnsi="Bookman Old Style"/>
          <w:szCs w:val="24"/>
        </w:rPr>
        <w:t>ONCLUSION</w:t>
      </w:r>
    </w:p>
    <w:p w:rsidR="00C035D6" w:rsidRPr="00E54541" w:rsidRDefault="00C035D6" w:rsidP="00E54541">
      <w:pPr>
        <w:rPr>
          <w:rFonts w:ascii="Bookman Old Style" w:hAnsi="Bookman Old Style"/>
          <w:szCs w:val="24"/>
        </w:rPr>
      </w:pPr>
    </w:p>
    <w:p w:rsidR="00C035D6" w:rsidRDefault="00C035D6" w:rsidP="00E54541">
      <w:pPr>
        <w:suppressAutoHyphens/>
        <w:rPr>
          <w:rFonts w:ascii="Bookman Old Style" w:hAnsi="Bookman Old Style"/>
          <w:spacing w:val="-3"/>
          <w:szCs w:val="24"/>
        </w:rPr>
      </w:pPr>
      <w:r w:rsidRPr="00E54541">
        <w:rPr>
          <w:rFonts w:ascii="Bookman Old Style" w:hAnsi="Bookman Old Style"/>
          <w:spacing w:val="-3"/>
          <w:szCs w:val="24"/>
        </w:rPr>
        <w:t xml:space="preserve">A discharge is “a separation from work in which the employer takes the action which results in the separation, and the worker does not have the choice of remaining in employment." 8 AAC 85.010(20). </w:t>
      </w:r>
      <w:r w:rsidRPr="00E54541">
        <w:rPr>
          <w:rFonts w:ascii="Bookman Old Style" w:hAnsi="Bookman Old Style"/>
          <w:spacing w:val="-3"/>
          <w:szCs w:val="24"/>
        </w:rPr>
        <w:fldChar w:fldCharType="begin"/>
      </w:r>
      <w:r w:rsidRPr="00E54541">
        <w:rPr>
          <w:rFonts w:ascii="Bookman Old Style" w:hAnsi="Bookman Old Style"/>
          <w:spacing w:val="-3"/>
          <w:szCs w:val="24"/>
        </w:rPr>
        <w:instrText xml:space="preserve">PRIVATE </w:instrText>
      </w:r>
      <w:r w:rsidRPr="00E54541">
        <w:rPr>
          <w:rFonts w:ascii="Bookman Old Style" w:hAnsi="Bookman Old Style"/>
          <w:spacing w:val="-3"/>
          <w:szCs w:val="24"/>
        </w:rPr>
        <w:fldChar w:fldCharType="end"/>
      </w:r>
      <w:r w:rsidRPr="00E54541">
        <w:rPr>
          <w:rFonts w:ascii="Bookman Old Style" w:hAnsi="Bookman Old Style"/>
          <w:spacing w:val="-3"/>
          <w:szCs w:val="24"/>
        </w:rPr>
        <w:t xml:space="preserve">Voluntary leaving means a separation from work in which the worker takes the action which results in the separation, and the worker does have the choice of remaining in employment. </w:t>
      </w:r>
      <w:r w:rsidRPr="00E54541">
        <w:rPr>
          <w:rFonts w:ascii="Bookman Old Style" w:hAnsi="Bookman Old Style"/>
          <w:spacing w:val="-3"/>
          <w:szCs w:val="24"/>
          <w:u w:val="single"/>
        </w:rPr>
        <w:t>Swarm</w:t>
      </w:r>
      <w:r w:rsidRPr="00E54541">
        <w:rPr>
          <w:rFonts w:ascii="Bookman Old Style" w:hAnsi="Bookman Old Style"/>
          <w:spacing w:val="-3"/>
          <w:szCs w:val="24"/>
        </w:rPr>
        <w:t xml:space="preserve">, Com. Dec. 87H-UI-265, September 29, 1987. </w:t>
      </w:r>
      <w:r w:rsidRPr="00E54541">
        <w:rPr>
          <w:rFonts w:ascii="Bookman Old Style" w:hAnsi="Bookman Old Style"/>
          <w:spacing w:val="-3"/>
          <w:szCs w:val="24"/>
          <w:u w:val="single"/>
        </w:rPr>
        <w:t>Alden</w:t>
      </w:r>
      <w:r w:rsidRPr="00E54541">
        <w:rPr>
          <w:rFonts w:ascii="Bookman Old Style" w:hAnsi="Bookman Old Style"/>
          <w:spacing w:val="-3"/>
          <w:szCs w:val="24"/>
        </w:rPr>
        <w:t>, Com. Dec. 85H-UI-320, January 17, 1986.</w:t>
      </w:r>
    </w:p>
    <w:p w:rsidR="00FE777E" w:rsidRDefault="00FE777E" w:rsidP="00E54541">
      <w:pPr>
        <w:suppressAutoHyphens/>
        <w:rPr>
          <w:rFonts w:ascii="Bookman Old Style" w:hAnsi="Bookman Old Style"/>
          <w:spacing w:val="-3"/>
          <w:szCs w:val="24"/>
        </w:rPr>
      </w:pPr>
    </w:p>
    <w:p w:rsidR="00FE777E" w:rsidRDefault="00FE777E" w:rsidP="00E54541">
      <w:pPr>
        <w:suppressAutoHyphens/>
        <w:rPr>
          <w:rFonts w:ascii="Bookman Old Style" w:hAnsi="Bookman Old Style"/>
          <w:spacing w:val="-3"/>
          <w:szCs w:val="24"/>
        </w:rPr>
      </w:pPr>
      <w:r>
        <w:rPr>
          <w:rFonts w:ascii="Bookman Old Style" w:hAnsi="Bookman Old Style"/>
          <w:spacing w:val="-3"/>
          <w:szCs w:val="24"/>
        </w:rPr>
        <w:lastRenderedPageBreak/>
        <w:t>The claimant did not intend to leave work and he showed up for his next scheduled shift, however he was not allowed to work because he no longer had a commercial driver’s license. The Tribunal finds the employer took the action that ended the employment relationship, so the separation is a discharge. The Tribunal will consider if the discharge was for work related misconduct.</w:t>
      </w:r>
    </w:p>
    <w:p w:rsidR="00FE777E" w:rsidRDefault="00FE777E" w:rsidP="00E54541">
      <w:pPr>
        <w:suppressAutoHyphens/>
        <w:rPr>
          <w:rFonts w:ascii="Bookman Old Style" w:hAnsi="Bookman Old Style"/>
          <w:spacing w:val="-3"/>
          <w:szCs w:val="24"/>
        </w:rPr>
      </w:pPr>
    </w:p>
    <w:p w:rsidR="00FE777E" w:rsidRPr="00FE777E" w:rsidRDefault="00FE777E" w:rsidP="00FE777E">
      <w:pPr>
        <w:rPr>
          <w:rFonts w:ascii="Bookman Old Style" w:hAnsi="Bookman Old Style"/>
        </w:rPr>
      </w:pPr>
      <w:r w:rsidRPr="00FE777E">
        <w:rPr>
          <w:rFonts w:ascii="Bookman Old Style" w:hAnsi="Bookman Old Style"/>
        </w:rPr>
        <w:t xml:space="preserve">In </w:t>
      </w:r>
      <w:r w:rsidRPr="00FE777E">
        <w:rPr>
          <w:rFonts w:ascii="Bookman Old Style" w:hAnsi="Bookman Old Style"/>
          <w:u w:val="single"/>
        </w:rPr>
        <w:t>Traylor</w:t>
      </w:r>
      <w:r>
        <w:rPr>
          <w:rFonts w:ascii="Bookman Old Style" w:hAnsi="Bookman Old Style"/>
        </w:rPr>
        <w:t>, Com.</w:t>
      </w:r>
      <w:r w:rsidRPr="00FE777E">
        <w:rPr>
          <w:rFonts w:ascii="Bookman Old Style" w:hAnsi="Bookman Old Style"/>
        </w:rPr>
        <w:t xml:space="preserve"> Dec. No. 88H</w:t>
      </w:r>
      <w:r w:rsidRPr="00FE777E">
        <w:rPr>
          <w:rFonts w:ascii="Bookman Old Style" w:hAnsi="Bookman Old Style"/>
        </w:rPr>
        <w:noBreakHyphen/>
        <w:t>UI</w:t>
      </w:r>
      <w:r w:rsidRPr="00FE777E">
        <w:rPr>
          <w:rFonts w:ascii="Bookman Old Style" w:hAnsi="Bookman Old Style"/>
        </w:rPr>
        <w:noBreakHyphen/>
        <w:t xml:space="preserve">140, March 6, 1989 the Commissioner </w:t>
      </w:r>
      <w:r>
        <w:rPr>
          <w:rFonts w:ascii="Bookman Old Style" w:hAnsi="Bookman Old Style"/>
        </w:rPr>
        <w:t xml:space="preserve">of the Department of Labor and Workforce Development </w:t>
      </w:r>
      <w:r w:rsidRPr="00FE777E">
        <w:rPr>
          <w:rFonts w:ascii="Bookman Old Style" w:hAnsi="Bookman Old Style"/>
        </w:rPr>
        <w:t>provides:</w:t>
      </w:r>
    </w:p>
    <w:p w:rsidR="00FE777E" w:rsidRPr="00FE777E" w:rsidRDefault="00FE777E" w:rsidP="00FE777E">
      <w:pPr>
        <w:rPr>
          <w:rFonts w:ascii="Bookman Old Style" w:hAnsi="Bookman Old Style"/>
        </w:rPr>
      </w:pPr>
    </w:p>
    <w:p w:rsidR="00FE777E" w:rsidRPr="00FE777E" w:rsidRDefault="00FE777E" w:rsidP="00FE777E">
      <w:pPr>
        <w:ind w:left="720"/>
        <w:rPr>
          <w:rFonts w:ascii="Bookman Old Style" w:hAnsi="Bookman Old Style"/>
          <w:i/>
        </w:rPr>
      </w:pPr>
      <w:r w:rsidRPr="00FE777E">
        <w:rPr>
          <w:rFonts w:ascii="Bookman Old Style" w:hAnsi="Bookman Old Style"/>
          <w:i/>
        </w:rPr>
        <w:t xml:space="preserve">As the court stated in </w:t>
      </w:r>
      <w:r w:rsidRPr="00FE777E">
        <w:rPr>
          <w:rFonts w:ascii="Bookman Old Style" w:hAnsi="Bookman Old Style"/>
          <w:i/>
          <w:u w:val="single"/>
        </w:rPr>
        <w:t>Grimbel v. Brown</w:t>
      </w:r>
      <w:r w:rsidRPr="00FE777E">
        <w:rPr>
          <w:rFonts w:ascii="Bookman Old Style" w:hAnsi="Bookman Old Style"/>
          <w:i/>
        </w:rPr>
        <w:t>, 171 So.2d 653 (La. Sup. 1965), “the question for determination must always be whether the result of the misconduct has adversely affected the employee's ability and capacity to perform his duties in an appreciable degree. If it has, then it follows that it is contrary to the employer's interest and in ‘ . . . disregard of standards of behavior which the employer has the right to expect of his employee . . . .’”</w:t>
      </w:r>
    </w:p>
    <w:p w:rsidR="00FE777E" w:rsidRPr="00E54541" w:rsidRDefault="00FE777E" w:rsidP="00E54541">
      <w:pPr>
        <w:suppressAutoHyphens/>
        <w:rPr>
          <w:rFonts w:ascii="Bookman Old Style" w:hAnsi="Bookman Old Style"/>
          <w:spacing w:val="-3"/>
          <w:szCs w:val="24"/>
        </w:rPr>
      </w:pPr>
    </w:p>
    <w:p w:rsidR="00556369" w:rsidRDefault="00556369" w:rsidP="00E54541">
      <w:pPr>
        <w:tabs>
          <w:tab w:val="left" w:pos="-1440"/>
          <w:tab w:val="left" w:pos="-720"/>
        </w:tabs>
        <w:rPr>
          <w:rFonts w:ascii="Bookman Old Style" w:hAnsi="Bookman Old Style"/>
          <w:szCs w:val="24"/>
        </w:rPr>
      </w:pPr>
      <w:r>
        <w:rPr>
          <w:rFonts w:ascii="Bookman Old Style" w:hAnsi="Bookman Old Style"/>
          <w:szCs w:val="24"/>
        </w:rPr>
        <w:t xml:space="preserve">As in </w:t>
      </w:r>
      <w:r w:rsidRPr="00556369">
        <w:rPr>
          <w:rFonts w:ascii="Bookman Old Style" w:hAnsi="Bookman Old Style"/>
          <w:szCs w:val="24"/>
          <w:u w:val="single"/>
        </w:rPr>
        <w:t>Traylor</w:t>
      </w:r>
      <w:r w:rsidR="005D5061">
        <w:rPr>
          <w:rFonts w:ascii="Bookman Old Style" w:hAnsi="Bookman Old Style"/>
          <w:szCs w:val="24"/>
        </w:rPr>
        <w:t>, this</w:t>
      </w:r>
      <w:r>
        <w:rPr>
          <w:rFonts w:ascii="Bookman Old Style" w:hAnsi="Bookman Old Style"/>
          <w:szCs w:val="24"/>
        </w:rPr>
        <w:t xml:space="preserve"> claimant’s ability and capacity to perform his duties was affected by his actions</w:t>
      </w:r>
      <w:r w:rsidR="005D5061">
        <w:rPr>
          <w:rFonts w:ascii="Bookman Old Style" w:hAnsi="Bookman Old Style"/>
          <w:szCs w:val="24"/>
        </w:rPr>
        <w:t xml:space="preserve"> of driving while under the influence outside of work hours</w:t>
      </w:r>
      <w:r>
        <w:rPr>
          <w:rFonts w:ascii="Bookman Old Style" w:hAnsi="Bookman Old Style"/>
          <w:szCs w:val="24"/>
        </w:rPr>
        <w:t>.  The employer could no longer use the claimant’s services</w:t>
      </w:r>
      <w:r w:rsidR="005D5061">
        <w:rPr>
          <w:rFonts w:ascii="Bookman Old Style" w:hAnsi="Bookman Old Style"/>
          <w:szCs w:val="24"/>
        </w:rPr>
        <w:t xml:space="preserve"> as a result of those actions</w:t>
      </w:r>
      <w:r>
        <w:rPr>
          <w:rFonts w:ascii="Bookman Old Style" w:hAnsi="Bookman Old Style"/>
          <w:szCs w:val="24"/>
        </w:rPr>
        <w:t xml:space="preserve">, which is </w:t>
      </w:r>
      <w:r w:rsidR="005D5061">
        <w:rPr>
          <w:rFonts w:ascii="Bookman Old Style" w:hAnsi="Bookman Old Style"/>
          <w:szCs w:val="24"/>
        </w:rPr>
        <w:t xml:space="preserve">clearly </w:t>
      </w:r>
      <w:r>
        <w:rPr>
          <w:rFonts w:ascii="Bookman Old Style" w:hAnsi="Bookman Old Style"/>
          <w:szCs w:val="24"/>
        </w:rPr>
        <w:t xml:space="preserve">contrary to the employer’s interests. </w:t>
      </w:r>
      <w:r w:rsidR="000D1F0A">
        <w:rPr>
          <w:rFonts w:ascii="Bookman Old Style" w:hAnsi="Bookman Old Style"/>
          <w:szCs w:val="24"/>
        </w:rPr>
        <w:t>The claimant’s actions were willful and the employer was harmed.</w:t>
      </w:r>
    </w:p>
    <w:p w:rsidR="000D1F0A" w:rsidRDefault="000D1F0A" w:rsidP="00E54541">
      <w:pPr>
        <w:tabs>
          <w:tab w:val="left" w:pos="-1440"/>
          <w:tab w:val="left" w:pos="-720"/>
        </w:tabs>
        <w:rPr>
          <w:rFonts w:ascii="Bookman Old Style" w:hAnsi="Bookman Old Style"/>
          <w:szCs w:val="24"/>
        </w:rPr>
      </w:pPr>
    </w:p>
    <w:p w:rsidR="00556369" w:rsidRDefault="00556369" w:rsidP="00E54541">
      <w:pPr>
        <w:tabs>
          <w:tab w:val="left" w:pos="-1440"/>
          <w:tab w:val="left" w:pos="-720"/>
        </w:tabs>
        <w:rPr>
          <w:rFonts w:ascii="Bookman Old Style" w:hAnsi="Bookman Old Style"/>
          <w:szCs w:val="24"/>
        </w:rPr>
      </w:pPr>
      <w:r>
        <w:rPr>
          <w:rFonts w:ascii="Bookman Old Style" w:hAnsi="Bookman Old Style"/>
          <w:szCs w:val="24"/>
        </w:rPr>
        <w:t xml:space="preserve">The Tribunal concludes the claimant was discharged for misconduct connected to the work.  The penalties of AS 23.20.379 are appropriate. </w:t>
      </w:r>
    </w:p>
    <w:p w:rsidR="00556369" w:rsidRPr="00E54541" w:rsidRDefault="00556369" w:rsidP="00E54541">
      <w:pPr>
        <w:tabs>
          <w:tab w:val="left" w:pos="-1440"/>
          <w:tab w:val="left" w:pos="-720"/>
        </w:tabs>
        <w:rPr>
          <w:rFonts w:ascii="Bookman Old Style" w:hAnsi="Bookman Old Style"/>
          <w:szCs w:val="24"/>
        </w:rPr>
      </w:pPr>
    </w:p>
    <w:p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DECISION</w:t>
      </w:r>
    </w:p>
    <w:p w:rsidR="005A281D" w:rsidRPr="00E54541" w:rsidRDefault="005A281D" w:rsidP="00E54541">
      <w:pPr>
        <w:tabs>
          <w:tab w:val="left" w:pos="-1440"/>
          <w:tab w:val="left" w:pos="-720"/>
        </w:tabs>
        <w:rPr>
          <w:rFonts w:ascii="Bookman Old Style" w:hAnsi="Bookman Old Style"/>
          <w:szCs w:val="24"/>
        </w:rPr>
      </w:pPr>
    </w:p>
    <w:p w:rsidR="00E54541" w:rsidRDefault="00E54541" w:rsidP="00E54541">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566A32">
        <w:rPr>
          <w:rFonts w:ascii="Bookman Old Style" w:hAnsi="Bookman Old Style"/>
          <w:szCs w:val="24"/>
        </w:rPr>
        <w:t>October 16, 2019</w:t>
      </w:r>
      <w:r w:rsidRPr="00E1431E">
        <w:rPr>
          <w:rFonts w:ascii="Bookman Old Style" w:hAnsi="Bookman Old Style"/>
        </w:rPr>
        <w:t xml:space="preserve"> is </w:t>
      </w:r>
      <w:r w:rsidR="00566A32">
        <w:rPr>
          <w:rFonts w:ascii="Bookman Old Style" w:hAnsi="Bookman Old Style"/>
          <w:b/>
          <w:szCs w:val="24"/>
        </w:rPr>
        <w:t>AFFIRMED</w:t>
      </w:r>
      <w:r w:rsidRPr="00E1431E">
        <w:rPr>
          <w:rFonts w:ascii="Bookman Old Style" w:hAnsi="Bookman Old Style"/>
          <w:b/>
        </w:rPr>
        <w:t xml:space="preserve">. </w:t>
      </w:r>
      <w:r w:rsidRPr="00E1431E">
        <w:rPr>
          <w:rFonts w:ascii="Bookman Old Style" w:hAnsi="Bookman Old Style"/>
        </w:rPr>
        <w:t xml:space="preserve">Benefits </w:t>
      </w:r>
      <w:r w:rsidR="005D5061">
        <w:rPr>
          <w:rFonts w:ascii="Bookman Old Style" w:hAnsi="Bookman Old Style"/>
        </w:rPr>
        <w:t>are</w:t>
      </w:r>
      <w:r w:rsidRPr="00E1431E">
        <w:rPr>
          <w:rFonts w:ascii="Bookman Old Style" w:hAnsi="Bookman Old Style"/>
        </w:rPr>
        <w:t xml:space="preserve"> </w:t>
      </w:r>
      <w:r w:rsidRPr="00415DE7">
        <w:rPr>
          <w:rFonts w:ascii="Bookman Old Style" w:hAnsi="Bookman Old Style"/>
          <w:b/>
        </w:rPr>
        <w:t>DENIED</w:t>
      </w:r>
      <w:r w:rsidRPr="00DC77EC">
        <w:rPr>
          <w:rFonts w:ascii="Bookman Old Style" w:hAnsi="Bookman Old Style"/>
        </w:rPr>
        <w:t xml:space="preserve"> </w:t>
      </w:r>
      <w:r w:rsidR="005D5061">
        <w:rPr>
          <w:rFonts w:ascii="Bookman Old Style" w:hAnsi="Bookman Old Style"/>
        </w:rPr>
        <w:t xml:space="preserve">under AS 23.20.379(a)(2) </w:t>
      </w:r>
      <w:r w:rsidRPr="00E1431E">
        <w:rPr>
          <w:rFonts w:ascii="Bookman Old Style" w:hAnsi="Bookman Old Style"/>
        </w:rPr>
        <w:t xml:space="preserve">for the weeks ending </w:t>
      </w:r>
      <w:r w:rsidR="00566A32">
        <w:rPr>
          <w:rFonts w:ascii="Bookman Old Style" w:hAnsi="Bookman Old Style"/>
          <w:szCs w:val="24"/>
        </w:rPr>
        <w:t>October 5, 2019 through November 9, 2019</w:t>
      </w:r>
      <w:r w:rsidRPr="00E1431E">
        <w:rPr>
          <w:rFonts w:ascii="Bookman Old Style" w:hAnsi="Bookman Old Style"/>
        </w:rPr>
        <w:t xml:space="preserve">. The three weeks </w:t>
      </w:r>
      <w:r w:rsidR="00566A32">
        <w:rPr>
          <w:rFonts w:ascii="Bookman Old Style" w:hAnsi="Bookman Old Style"/>
        </w:rPr>
        <w:t>remain</w:t>
      </w:r>
      <w:r w:rsidRPr="00E1431E">
        <w:rPr>
          <w:rFonts w:ascii="Bookman Old Style" w:hAnsi="Bookman Old Style"/>
        </w:rPr>
        <w:t xml:space="preserve"> </w:t>
      </w:r>
      <w:r>
        <w:rPr>
          <w:rFonts w:ascii="Bookman Old Style" w:hAnsi="Bookman Old Style"/>
        </w:rPr>
        <w:t>reduced from the claimant’s</w:t>
      </w:r>
      <w:r w:rsidRPr="00E1431E">
        <w:rPr>
          <w:rFonts w:ascii="Bookman Old Style" w:hAnsi="Bookman Old Style"/>
        </w:rPr>
        <w:t xml:space="preserve"> maximum benefits. </w:t>
      </w:r>
      <w:r>
        <w:rPr>
          <w:rFonts w:ascii="Bookman Old Style" w:hAnsi="Bookman Old Style"/>
        </w:rPr>
        <w:t>The claimant may not be eligible</w:t>
      </w:r>
      <w:r w:rsidRPr="00E1431E">
        <w:rPr>
          <w:rFonts w:ascii="Bookman Old Style" w:hAnsi="Bookman Old Style"/>
        </w:rPr>
        <w:t xml:space="preserve"> for extended benefits</w:t>
      </w:r>
      <w:r w:rsidRPr="00331D25">
        <w:rPr>
          <w:rFonts w:ascii="Bookman Old Style" w:hAnsi="Bookman Old Style"/>
        </w:rPr>
        <w:t xml:space="preserve"> </w:t>
      </w:r>
      <w:r>
        <w:rPr>
          <w:rFonts w:ascii="Bookman Old Style" w:hAnsi="Bookman Old Style"/>
        </w:rPr>
        <w:t>under AS 23.20.406-409.</w:t>
      </w:r>
    </w:p>
    <w:p w:rsidR="005A281D" w:rsidRPr="00E54541" w:rsidRDefault="005A281D" w:rsidP="00E54541">
      <w:pPr>
        <w:tabs>
          <w:tab w:val="left" w:pos="-1440"/>
          <w:tab w:val="left" w:pos="-720"/>
        </w:tabs>
        <w:rPr>
          <w:rFonts w:ascii="Bookman Old Style" w:hAnsi="Bookman Old Style"/>
          <w:szCs w:val="24"/>
        </w:rPr>
      </w:pPr>
    </w:p>
    <w:p w:rsidR="005A281D" w:rsidRPr="00E54541" w:rsidRDefault="00B554BF" w:rsidP="00E54541">
      <w:pPr>
        <w:pStyle w:val="Heading4"/>
        <w:jc w:val="center"/>
        <w:rPr>
          <w:rFonts w:ascii="Bookman Old Style" w:hAnsi="Bookman Old Style"/>
          <w:szCs w:val="24"/>
        </w:rPr>
      </w:pPr>
      <w:r w:rsidRPr="00E54541">
        <w:rPr>
          <w:rFonts w:ascii="Bookman Old Style" w:hAnsi="Bookman Old Style"/>
          <w:szCs w:val="24"/>
        </w:rPr>
        <w:t>A</w:t>
      </w:r>
      <w:r w:rsidR="005A281D" w:rsidRPr="00E54541">
        <w:rPr>
          <w:rFonts w:ascii="Bookman Old Style" w:hAnsi="Bookman Old Style"/>
          <w:szCs w:val="24"/>
        </w:rPr>
        <w:t>PPEAL RIGHTS</w:t>
      </w:r>
    </w:p>
    <w:p w:rsidR="005A281D" w:rsidRPr="00E54541" w:rsidRDefault="005A281D" w:rsidP="00E54541">
      <w:pPr>
        <w:tabs>
          <w:tab w:val="left" w:pos="-1440"/>
          <w:tab w:val="left" w:pos="-720"/>
        </w:tabs>
        <w:rPr>
          <w:rFonts w:ascii="Bookman Old Style" w:hAnsi="Bookman Old Style"/>
          <w:szCs w:val="24"/>
        </w:rPr>
      </w:pPr>
    </w:p>
    <w:p w:rsidR="00E54541" w:rsidRPr="006364B5" w:rsidRDefault="00E54541" w:rsidP="00E54541">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5A281D" w:rsidRPr="00E54541" w:rsidRDefault="005A281D" w:rsidP="00E54541">
      <w:pPr>
        <w:tabs>
          <w:tab w:val="left" w:pos="-1440"/>
          <w:tab w:val="left" w:pos="-720"/>
        </w:tabs>
        <w:rPr>
          <w:rFonts w:ascii="Bookman Old Style" w:hAnsi="Bookman Old Style"/>
          <w:szCs w:val="24"/>
        </w:rPr>
      </w:pPr>
    </w:p>
    <w:p w:rsidR="005A281D" w:rsidRPr="00E54541" w:rsidRDefault="00144FA4" w:rsidP="00E54541">
      <w:pPr>
        <w:tabs>
          <w:tab w:val="left" w:pos="-1440"/>
          <w:tab w:val="left" w:pos="-720"/>
        </w:tabs>
        <w:rPr>
          <w:rFonts w:ascii="Bookman Old Style" w:hAnsi="Bookman Old Style"/>
          <w:szCs w:val="24"/>
        </w:rPr>
      </w:pPr>
      <w:r w:rsidRPr="00E54541">
        <w:rPr>
          <w:rFonts w:ascii="Bookman Old Style" w:hAnsi="Bookman Old Style"/>
          <w:szCs w:val="24"/>
        </w:rPr>
        <w:t>Dated and m</w:t>
      </w:r>
      <w:r w:rsidR="005A281D" w:rsidRPr="00E54541">
        <w:rPr>
          <w:rFonts w:ascii="Bookman Old Style" w:hAnsi="Bookman Old Style"/>
          <w:szCs w:val="24"/>
        </w:rPr>
        <w:t xml:space="preserve">ailed on </w:t>
      </w:r>
      <w:r w:rsidR="00566A32">
        <w:rPr>
          <w:rFonts w:ascii="Bookman Old Style" w:hAnsi="Bookman Old Style"/>
          <w:szCs w:val="24"/>
        </w:rPr>
        <w:t>November 15, 2019</w:t>
      </w:r>
      <w:r w:rsidR="005A281D" w:rsidRPr="00E54541">
        <w:rPr>
          <w:rFonts w:ascii="Bookman Old Style" w:hAnsi="Bookman Old Style"/>
          <w:szCs w:val="24"/>
        </w:rPr>
        <w:t>.</w:t>
      </w:r>
    </w:p>
    <w:p w:rsidR="005D5061" w:rsidRDefault="005D5061" w:rsidP="00E54541">
      <w:pPr>
        <w:tabs>
          <w:tab w:val="left" w:pos="-1440"/>
          <w:tab w:val="left" w:pos="-720"/>
        </w:tabs>
        <w:rPr>
          <w:rFonts w:ascii="Bookman Old Style" w:hAnsi="Bookman Old Style"/>
          <w:szCs w:val="24"/>
        </w:rPr>
      </w:pPr>
    </w:p>
    <w:p w:rsidR="00F52BEA" w:rsidRPr="00E54541" w:rsidRDefault="004758FD"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r>
      <w:r w:rsidRPr="00E54541">
        <w:rPr>
          <w:rFonts w:ascii="Bookman Old Style" w:hAnsi="Bookman Old Style"/>
          <w:szCs w:val="24"/>
        </w:rPr>
        <w:tab/>
      </w:r>
      <w:r w:rsidRPr="00E54541">
        <w:rPr>
          <w:rFonts w:ascii="Bookman Old Style" w:hAnsi="Bookman Old Style"/>
          <w:szCs w:val="24"/>
        </w:rPr>
        <w:tab/>
        <w:t xml:space="preserve">      </w:t>
      </w:r>
    </w:p>
    <w:p w:rsidR="005A281D" w:rsidRPr="00E54541" w:rsidRDefault="00774034"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r>
      <w:r w:rsidRPr="00E54541">
        <w:rPr>
          <w:rFonts w:ascii="Bookman Old Style" w:hAnsi="Bookman Old Style"/>
          <w:szCs w:val="24"/>
        </w:rPr>
        <w:tab/>
      </w:r>
      <w:r w:rsidR="005A281D" w:rsidRPr="00E54541">
        <w:rPr>
          <w:rFonts w:ascii="Bookman Old Style" w:hAnsi="Bookman Old Style"/>
          <w:szCs w:val="24"/>
        </w:rPr>
        <w:t xml:space="preserve">                                 </w:t>
      </w:r>
      <w:r w:rsidR="00B554BF" w:rsidRPr="00E54541">
        <w:rPr>
          <w:rFonts w:ascii="Bookman Old Style" w:hAnsi="Bookman Old Style"/>
          <w:szCs w:val="24"/>
        </w:rPr>
        <w:t xml:space="preserve"> </w:t>
      </w:r>
      <w:r w:rsidR="00566A32">
        <w:rPr>
          <w:rFonts w:ascii="Bookman Old Style" w:hAnsi="Bookman Old Style"/>
          <w:szCs w:val="24"/>
        </w:rPr>
        <w:t>Rhonda Buness</w:t>
      </w:r>
      <w:r w:rsidR="005A281D" w:rsidRPr="00E54541">
        <w:rPr>
          <w:rFonts w:ascii="Bookman Old Style" w:hAnsi="Bookman Old Style"/>
          <w:szCs w:val="24"/>
        </w:rPr>
        <w:t xml:space="preserve">, </w:t>
      </w:r>
      <w:r w:rsidR="00EE7F4C">
        <w:rPr>
          <w:rFonts w:ascii="Bookman Old Style" w:hAnsi="Bookman Old Style"/>
          <w:szCs w:val="24"/>
        </w:rPr>
        <w:t>Appeals</w:t>
      </w:r>
      <w:r w:rsidR="005A281D" w:rsidRPr="00E54541">
        <w:rPr>
          <w:rFonts w:ascii="Bookman Old Style" w:hAnsi="Bookman Old Style"/>
          <w:szCs w:val="24"/>
        </w:rPr>
        <w:t xml:space="preserve"> Officer</w:t>
      </w:r>
    </w:p>
    <w:p w:rsidR="00774034" w:rsidRPr="00E54541" w:rsidRDefault="00774034" w:rsidP="00E54541">
      <w:pPr>
        <w:tabs>
          <w:tab w:val="left" w:pos="-1440"/>
          <w:tab w:val="left" w:pos="-720"/>
        </w:tabs>
        <w:rPr>
          <w:rFonts w:ascii="Bookman Old Style" w:hAnsi="Bookman Old Style"/>
          <w:szCs w:val="24"/>
        </w:rPr>
      </w:pPr>
    </w:p>
    <w:sectPr w:rsidR="00774034" w:rsidRPr="00E54541">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DD7" w:rsidRDefault="00BA6DD7">
      <w:pPr>
        <w:widowControl/>
        <w:spacing w:line="20" w:lineRule="exact"/>
      </w:pPr>
    </w:p>
  </w:endnote>
  <w:endnote w:type="continuationSeparator" w:id="0">
    <w:p w:rsidR="00BA6DD7" w:rsidRDefault="00BA6DD7">
      <w:r>
        <w:t xml:space="preserve"> </w:t>
      </w:r>
    </w:p>
  </w:endnote>
  <w:endnote w:type="continuationNotice" w:id="1">
    <w:p w:rsidR="00BA6DD7" w:rsidRDefault="00BA6DD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DD7" w:rsidRDefault="00BA6DD7">
      <w:r>
        <w:separator/>
      </w:r>
    </w:p>
  </w:footnote>
  <w:footnote w:type="continuationSeparator" w:id="0">
    <w:p w:rsidR="00BA6DD7" w:rsidRDefault="00BA6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77E" w:rsidRPr="00B554BF" w:rsidRDefault="004449AA">
    <w:pPr>
      <w:pStyle w:val="Header"/>
      <w:rPr>
        <w:rFonts w:ascii="Bookman Old Style" w:hAnsi="Bookman Old Style"/>
      </w:rPr>
    </w:pPr>
    <w:r>
      <w:rPr>
        <w:rFonts w:ascii="Bookman Old Style" w:hAnsi="Bookman Old Style"/>
      </w:rPr>
      <w:t>Docket</w:t>
    </w:r>
    <w:r w:rsidR="002B4A81">
      <w:rPr>
        <w:rFonts w:ascii="Bookman Old Style" w:hAnsi="Bookman Old Style"/>
      </w:rPr>
      <w:t xml:space="preserve"># </w:t>
    </w:r>
    <w:r w:rsidR="00FE777E">
      <w:rPr>
        <w:rFonts w:ascii="Bookman Old Style" w:hAnsi="Bookman Old Style"/>
      </w:rPr>
      <w:t>19 1036</w:t>
    </w:r>
  </w:p>
  <w:p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FC6E14">
      <w:rPr>
        <w:rStyle w:val="PageNumber"/>
        <w:rFonts w:ascii="Bookman Old Style" w:hAnsi="Bookman Old Style"/>
        <w:noProof/>
      </w:rPr>
      <w:t>2</w:t>
    </w:r>
    <w:r w:rsidRPr="00B554BF">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D7"/>
    <w:rsid w:val="00027F9D"/>
    <w:rsid w:val="000443B6"/>
    <w:rsid w:val="000D1F0A"/>
    <w:rsid w:val="000D3B41"/>
    <w:rsid w:val="000E4D91"/>
    <w:rsid w:val="000F5712"/>
    <w:rsid w:val="00144FA4"/>
    <w:rsid w:val="0016631C"/>
    <w:rsid w:val="002A3C37"/>
    <w:rsid w:val="002B4A81"/>
    <w:rsid w:val="002B4C7B"/>
    <w:rsid w:val="002C42D3"/>
    <w:rsid w:val="002D5A94"/>
    <w:rsid w:val="003115E0"/>
    <w:rsid w:val="0038170D"/>
    <w:rsid w:val="00382877"/>
    <w:rsid w:val="003A5235"/>
    <w:rsid w:val="003B709B"/>
    <w:rsid w:val="003C0ED2"/>
    <w:rsid w:val="003E7E91"/>
    <w:rsid w:val="003F05F1"/>
    <w:rsid w:val="00401987"/>
    <w:rsid w:val="004449AA"/>
    <w:rsid w:val="0047053D"/>
    <w:rsid w:val="004758FD"/>
    <w:rsid w:val="004B0A1E"/>
    <w:rsid w:val="004C44C6"/>
    <w:rsid w:val="00556369"/>
    <w:rsid w:val="00566A32"/>
    <w:rsid w:val="00567B74"/>
    <w:rsid w:val="00581F65"/>
    <w:rsid w:val="005A281D"/>
    <w:rsid w:val="005A6135"/>
    <w:rsid w:val="005D5061"/>
    <w:rsid w:val="00600E6C"/>
    <w:rsid w:val="00613F00"/>
    <w:rsid w:val="00661D7B"/>
    <w:rsid w:val="00762388"/>
    <w:rsid w:val="00774034"/>
    <w:rsid w:val="007D240A"/>
    <w:rsid w:val="00842043"/>
    <w:rsid w:val="008516EC"/>
    <w:rsid w:val="008B1CA2"/>
    <w:rsid w:val="008E5C2B"/>
    <w:rsid w:val="008F1497"/>
    <w:rsid w:val="008F3C72"/>
    <w:rsid w:val="00A53090"/>
    <w:rsid w:val="00AB368A"/>
    <w:rsid w:val="00B343ED"/>
    <w:rsid w:val="00B554BF"/>
    <w:rsid w:val="00BA6DD7"/>
    <w:rsid w:val="00C035D6"/>
    <w:rsid w:val="00C47467"/>
    <w:rsid w:val="00CF5BBD"/>
    <w:rsid w:val="00D025D4"/>
    <w:rsid w:val="00D829CE"/>
    <w:rsid w:val="00DD54FF"/>
    <w:rsid w:val="00E15DF9"/>
    <w:rsid w:val="00E20AA8"/>
    <w:rsid w:val="00E54541"/>
    <w:rsid w:val="00EA362A"/>
    <w:rsid w:val="00EB2462"/>
    <w:rsid w:val="00EC3E1C"/>
    <w:rsid w:val="00EE2933"/>
    <w:rsid w:val="00EE7F4C"/>
    <w:rsid w:val="00F52BEA"/>
    <w:rsid w:val="00FC6E14"/>
    <w:rsid w:val="00FE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A2321"/>
  <w15:chartTrackingRefBased/>
  <w15:docId w15:val="{910F9C76-F936-4CA8-B690-3807FE9E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1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or%2010%20Misconduct%20or%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05753E-A4EB-47A5-8892-54DE9CD1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 or 10 Misconduct or VL</Template>
  <TotalTime>0</TotalTime>
  <Pages>5</Pages>
  <Words>1234</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2019-11-16T00:37:00Z</dcterms:created>
  <dcterms:modified xsi:type="dcterms:W3CDTF">2019-11-16T00:37:00Z</dcterms:modified>
</cp:coreProperties>
</file>