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E9D" w:rsidRPr="00D82DF6" w:rsidRDefault="003C79C3" w:rsidP="00D82DF6">
      <w:pPr>
        <w:widowControl/>
        <w:tabs>
          <w:tab w:val="center" w:pos="4680"/>
        </w:tabs>
        <w:suppressAutoHyphens/>
        <w:jc w:val="center"/>
        <w:rPr>
          <w:rFonts w:ascii="Bookman Old Style" w:hAnsi="Bookman Old Style"/>
          <w:b/>
          <w:szCs w:val="24"/>
        </w:rPr>
      </w:pPr>
      <w:r w:rsidRPr="00D82DF6">
        <w:rPr>
          <w:rFonts w:ascii="Bookman Old Style" w:hAnsi="Bookman Old Style"/>
          <w:noProof/>
          <w:szCs w:val="24"/>
        </w:rPr>
        <w:drawing>
          <wp:anchor distT="0" distB="0" distL="114300" distR="114300" simplePos="0" relativeHeight="251657728" behindDoc="1" locked="0" layoutInCell="1" allowOverlap="1">
            <wp:simplePos x="0" y="0"/>
            <wp:positionH relativeFrom="column">
              <wp:posOffset>-744220</wp:posOffset>
            </wp:positionH>
            <wp:positionV relativeFrom="paragraph">
              <wp:posOffset>-266065</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widowControl/>
        <w:tabs>
          <w:tab w:val="left" w:pos="-720"/>
        </w:tabs>
        <w:suppressAutoHyphens/>
        <w:rPr>
          <w:rFonts w:ascii="Bookman Old Style" w:hAnsi="Bookman Old Style"/>
          <w:szCs w:val="24"/>
        </w:rPr>
      </w:pPr>
    </w:p>
    <w:p w:rsidR="005A281D" w:rsidRPr="00D82DF6" w:rsidRDefault="005A281D" w:rsidP="00D82DF6">
      <w:pPr>
        <w:pStyle w:val="Heading3"/>
        <w:widowControl/>
        <w:tabs>
          <w:tab w:val="center" w:pos="4680"/>
        </w:tabs>
        <w:suppressAutoHyphens/>
        <w:rPr>
          <w:rFonts w:ascii="Bookman Old Style" w:hAnsi="Bookman Old Style"/>
          <w:szCs w:val="24"/>
        </w:rPr>
      </w:pPr>
      <w:r w:rsidRPr="00D82DF6">
        <w:rPr>
          <w:rFonts w:ascii="Bookman Old Style" w:hAnsi="Bookman Old Style"/>
          <w:szCs w:val="24"/>
        </w:rPr>
        <w:t>APPEAL TRIBUNAL DECISION</w:t>
      </w:r>
    </w:p>
    <w:p w:rsidR="005A281D" w:rsidRPr="00D82DF6" w:rsidRDefault="005A281D" w:rsidP="00D82DF6">
      <w:pPr>
        <w:widowControl/>
        <w:tabs>
          <w:tab w:val="left" w:pos="-720"/>
        </w:tabs>
        <w:suppressAutoHyphens/>
        <w:rPr>
          <w:rFonts w:ascii="Bookman Old Style" w:hAnsi="Bookman Old Style"/>
          <w:szCs w:val="24"/>
        </w:rPr>
      </w:pPr>
    </w:p>
    <w:p w:rsidR="00441439" w:rsidRPr="00D82DF6" w:rsidRDefault="00193EB9" w:rsidP="00D82DF6">
      <w:pPr>
        <w:widowControl/>
        <w:tabs>
          <w:tab w:val="center" w:pos="4680"/>
        </w:tabs>
        <w:suppressAutoHyphens/>
        <w:jc w:val="center"/>
        <w:outlineLvl w:val="0"/>
        <w:rPr>
          <w:rFonts w:ascii="Bookman Old Style" w:hAnsi="Bookman Old Style"/>
          <w:szCs w:val="24"/>
        </w:rPr>
      </w:pPr>
      <w:r w:rsidRPr="00D82DF6">
        <w:rPr>
          <w:rFonts w:ascii="Bookman Old Style" w:hAnsi="Bookman Old Style"/>
          <w:b/>
          <w:szCs w:val="24"/>
        </w:rPr>
        <w:t xml:space="preserve">Docket </w:t>
      </w:r>
      <w:r w:rsidR="007C0440" w:rsidRPr="00D82DF6">
        <w:rPr>
          <w:rFonts w:ascii="Bookman Old Style" w:hAnsi="Bookman Old Style"/>
          <w:b/>
          <w:szCs w:val="24"/>
        </w:rPr>
        <w:t>number:</w:t>
      </w:r>
      <w:r w:rsidR="00441439" w:rsidRPr="00D82DF6">
        <w:rPr>
          <w:rFonts w:ascii="Bookman Old Style" w:hAnsi="Bookman Old Style"/>
          <w:szCs w:val="24"/>
        </w:rPr>
        <w:t xml:space="preserve"> </w:t>
      </w:r>
      <w:r w:rsidR="00B81577">
        <w:rPr>
          <w:rFonts w:ascii="Bookman Old Style" w:hAnsi="Bookman Old Style"/>
          <w:szCs w:val="24"/>
        </w:rPr>
        <w:t>19 1136</w:t>
      </w:r>
      <w:r w:rsidR="00441439" w:rsidRPr="00D82DF6">
        <w:rPr>
          <w:rFonts w:ascii="Bookman Old Style" w:hAnsi="Bookman Old Style"/>
          <w:szCs w:val="24"/>
        </w:rPr>
        <w:t xml:space="preserve">     </w:t>
      </w:r>
      <w:r w:rsidRPr="00D82DF6">
        <w:rPr>
          <w:rFonts w:ascii="Bookman Old Style" w:hAnsi="Bookman Old Style"/>
          <w:b/>
          <w:szCs w:val="24"/>
        </w:rPr>
        <w:t>Hearing d</w:t>
      </w:r>
      <w:r w:rsidR="00441439" w:rsidRPr="00D82DF6">
        <w:rPr>
          <w:rFonts w:ascii="Bookman Old Style" w:hAnsi="Bookman Old Style"/>
          <w:b/>
          <w:szCs w:val="24"/>
        </w:rPr>
        <w:t>ate:</w:t>
      </w:r>
      <w:r w:rsidR="00441439" w:rsidRPr="00D82DF6">
        <w:rPr>
          <w:rFonts w:ascii="Bookman Old Style" w:hAnsi="Bookman Old Style"/>
          <w:szCs w:val="24"/>
        </w:rPr>
        <w:t xml:space="preserve"> </w:t>
      </w:r>
      <w:r w:rsidR="00B81577">
        <w:rPr>
          <w:rFonts w:ascii="Bookman Old Style" w:hAnsi="Bookman Old Style"/>
          <w:szCs w:val="24"/>
        </w:rPr>
        <w:t>December 9, 2019</w:t>
      </w:r>
    </w:p>
    <w:p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rsidR="00441439" w:rsidRPr="00D82DF6" w:rsidRDefault="00441439" w:rsidP="00D82DF6">
      <w:pPr>
        <w:widowControl/>
        <w:tabs>
          <w:tab w:val="left" w:pos="-1440"/>
          <w:tab w:val="left" w:pos="-720"/>
          <w:tab w:val="left" w:pos="0"/>
          <w:tab w:val="left" w:pos="5760"/>
        </w:tabs>
        <w:suppressAutoHyphens/>
        <w:ind w:right="-360"/>
        <w:outlineLvl w:val="0"/>
        <w:rPr>
          <w:rFonts w:ascii="Bookman Old Style" w:hAnsi="Bookman Old Style"/>
          <w:szCs w:val="24"/>
        </w:rPr>
      </w:pPr>
      <w:r w:rsidRPr="00D82DF6">
        <w:rPr>
          <w:rFonts w:ascii="Bookman Old Style" w:hAnsi="Bookman Old Style"/>
          <w:b/>
          <w:szCs w:val="24"/>
        </w:rPr>
        <w:t>CLAIMANT:</w:t>
      </w:r>
      <w:r w:rsidRPr="00D82DF6">
        <w:rPr>
          <w:rFonts w:ascii="Bookman Old Style" w:hAnsi="Bookman Old Style"/>
          <w:b/>
          <w:szCs w:val="24"/>
        </w:rPr>
        <w:tab/>
        <w:t>EMPLOYER:</w:t>
      </w:r>
    </w:p>
    <w:p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rsidR="00B81577" w:rsidRPr="00B81577" w:rsidRDefault="00B81577" w:rsidP="00B81577">
      <w:pPr>
        <w:widowControl/>
        <w:tabs>
          <w:tab w:val="left" w:pos="-1440"/>
          <w:tab w:val="left" w:pos="-720"/>
          <w:tab w:val="left" w:pos="0"/>
          <w:tab w:val="left" w:pos="5760"/>
        </w:tabs>
        <w:suppressAutoHyphens/>
        <w:ind w:right="-360"/>
        <w:rPr>
          <w:rFonts w:ascii="Bookman Old Style" w:hAnsi="Bookman Old Style"/>
          <w:szCs w:val="24"/>
        </w:rPr>
      </w:pPr>
      <w:r w:rsidRPr="00B81577">
        <w:rPr>
          <w:rFonts w:ascii="Bookman Old Style" w:hAnsi="Bookman Old Style"/>
          <w:szCs w:val="24"/>
        </w:rPr>
        <w:t>WILLIAM JURGELEIT</w:t>
      </w:r>
      <w:r>
        <w:rPr>
          <w:rFonts w:ascii="Bookman Old Style" w:hAnsi="Bookman Old Style"/>
          <w:szCs w:val="24"/>
        </w:rPr>
        <w:tab/>
      </w:r>
      <w:r w:rsidRPr="00B81577">
        <w:rPr>
          <w:rFonts w:ascii="Bookman Old Style" w:hAnsi="Bookman Old Style"/>
          <w:szCs w:val="24"/>
        </w:rPr>
        <w:t>FRIENDS OF RECYCLING</w:t>
      </w:r>
    </w:p>
    <w:p w:rsidR="00441439"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rsidR="00571C4E" w:rsidRDefault="00571C4E" w:rsidP="00D82DF6">
      <w:pPr>
        <w:widowControl/>
        <w:tabs>
          <w:tab w:val="left" w:pos="-1440"/>
          <w:tab w:val="left" w:pos="-720"/>
          <w:tab w:val="left" w:pos="0"/>
          <w:tab w:val="left" w:pos="5760"/>
        </w:tabs>
        <w:suppressAutoHyphens/>
        <w:ind w:right="-360"/>
        <w:rPr>
          <w:rFonts w:ascii="Bookman Old Style" w:hAnsi="Bookman Old Style"/>
          <w:szCs w:val="24"/>
        </w:rPr>
      </w:pPr>
    </w:p>
    <w:p w:rsidR="00571C4E" w:rsidRPr="00D82DF6" w:rsidRDefault="00571C4E" w:rsidP="00D82DF6">
      <w:pPr>
        <w:widowControl/>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r w:rsidRPr="00D82DF6">
        <w:rPr>
          <w:rFonts w:ascii="Bookman Old Style" w:hAnsi="Bookman Old Style"/>
          <w:b/>
          <w:szCs w:val="24"/>
        </w:rPr>
        <w:t>CLAIMANT APPEARANCES:</w:t>
      </w:r>
      <w:r w:rsidRPr="00D82DF6">
        <w:rPr>
          <w:rFonts w:ascii="Bookman Old Style" w:hAnsi="Bookman Old Style"/>
          <w:b/>
          <w:szCs w:val="24"/>
        </w:rPr>
        <w:tab/>
        <w:t>EMPLOYER APPEARANCES:</w:t>
      </w:r>
    </w:p>
    <w:p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rsidR="00441439" w:rsidRPr="00D82DF6" w:rsidRDefault="00B81577" w:rsidP="00D82DF6">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William Jurgeleit</w:t>
      </w:r>
      <w:r w:rsidR="00441439" w:rsidRPr="00D82DF6">
        <w:rPr>
          <w:rFonts w:ascii="Bookman Old Style" w:hAnsi="Bookman Old Style"/>
          <w:szCs w:val="24"/>
        </w:rPr>
        <w:tab/>
      </w:r>
      <w:r>
        <w:rPr>
          <w:rFonts w:ascii="Bookman Old Style" w:hAnsi="Bookman Old Style"/>
          <w:szCs w:val="24"/>
        </w:rPr>
        <w:t>Melissa Aronson</w:t>
      </w:r>
    </w:p>
    <w:p w:rsidR="005A281D" w:rsidRPr="00D82DF6" w:rsidRDefault="005A281D" w:rsidP="00D82DF6">
      <w:pPr>
        <w:widowControl/>
        <w:tabs>
          <w:tab w:val="left" w:pos="-1440"/>
          <w:tab w:val="left" w:pos="-720"/>
          <w:tab w:val="left" w:pos="0"/>
          <w:tab w:val="left" w:pos="5760"/>
        </w:tabs>
        <w:suppressAutoHyphens/>
        <w:ind w:right="-360"/>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CASE HISTORY</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widowControl/>
        <w:spacing w:after="200"/>
        <w:rPr>
          <w:rFonts w:ascii="Bookman Old Style" w:hAnsi="Bookman Old Style"/>
          <w:snapToGrid/>
          <w:szCs w:val="24"/>
        </w:rPr>
      </w:pPr>
      <w:r w:rsidRPr="00D82DF6">
        <w:rPr>
          <w:rFonts w:ascii="Bookman Old Style" w:hAnsi="Bookman Old Style"/>
          <w:snapToGrid/>
          <w:szCs w:val="24"/>
        </w:rPr>
        <w:t xml:space="preserve">The </w:t>
      </w:r>
      <w:r w:rsidR="00B81577">
        <w:rPr>
          <w:rFonts w:ascii="Bookman Old Style" w:hAnsi="Bookman Old Style"/>
          <w:szCs w:val="24"/>
        </w:rPr>
        <w:t>claimant</w:t>
      </w:r>
      <w:r w:rsidR="00FD077C">
        <w:rPr>
          <w:rFonts w:ascii="Bookman Old Style" w:hAnsi="Bookman Old Style"/>
          <w:szCs w:val="24"/>
        </w:rPr>
        <w:t xml:space="preserve"> </w:t>
      </w:r>
      <w:r w:rsidRPr="00D82DF6">
        <w:rPr>
          <w:rFonts w:ascii="Bookman Old Style" w:hAnsi="Bookman Old Style"/>
          <w:snapToGrid/>
          <w:szCs w:val="24"/>
        </w:rPr>
        <w:t>timely appealed a</w:t>
      </w:r>
      <w:r w:rsidR="00B81577">
        <w:rPr>
          <w:rFonts w:ascii="Bookman Old Style" w:hAnsi="Bookman Old Style"/>
          <w:snapToGrid/>
          <w:szCs w:val="24"/>
        </w:rPr>
        <w:t>n October 11, 2019</w:t>
      </w:r>
      <w:r w:rsidRPr="00D82DF6">
        <w:rPr>
          <w:rFonts w:ascii="Bookman Old Style" w:hAnsi="Bookman Old Style"/>
          <w:snapToGrid/>
          <w:szCs w:val="24"/>
        </w:rPr>
        <w:t xml:space="preserve"> determination which denied benefits under Alaska Statute 23.20.379. The issue before the Appeal Tribunal is whether the claimant voluntarily quit suitable work without good cause or was discharged for misconduct connected with the work.</w:t>
      </w: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FINDINGS OF FACT</w:t>
      </w:r>
    </w:p>
    <w:p w:rsidR="00441439" w:rsidRPr="00D82DF6" w:rsidRDefault="00441439" w:rsidP="00D82DF6">
      <w:pPr>
        <w:tabs>
          <w:tab w:val="left" w:pos="-1440"/>
          <w:tab w:val="left" w:pos="-720"/>
        </w:tabs>
        <w:rPr>
          <w:rFonts w:ascii="Bookman Old Style" w:hAnsi="Bookman Old Style"/>
          <w:szCs w:val="24"/>
        </w:rPr>
      </w:pPr>
    </w:p>
    <w:p w:rsidR="005A281D" w:rsidRDefault="00441439" w:rsidP="00D82DF6">
      <w:pPr>
        <w:widowControl/>
        <w:tabs>
          <w:tab w:val="left" w:pos="-1440"/>
          <w:tab w:val="left" w:pos="-720"/>
        </w:tabs>
        <w:suppressAutoHyphens/>
        <w:spacing w:after="200"/>
        <w:ind w:right="-360"/>
        <w:rPr>
          <w:rFonts w:ascii="Bookman Old Style" w:hAnsi="Bookman Old Style"/>
          <w:snapToGrid/>
          <w:szCs w:val="24"/>
        </w:rPr>
      </w:pPr>
      <w:r w:rsidRPr="00D82DF6">
        <w:rPr>
          <w:rFonts w:ascii="Bookman Old Style" w:hAnsi="Bookman Old Style"/>
          <w:snapToGrid/>
          <w:szCs w:val="24"/>
        </w:rPr>
        <w:t xml:space="preserve">The claimant began work for the employer on </w:t>
      </w:r>
      <w:r w:rsidR="00B81577">
        <w:rPr>
          <w:rFonts w:ascii="Bookman Old Style" w:hAnsi="Bookman Old Style"/>
          <w:snapToGrid/>
          <w:szCs w:val="24"/>
        </w:rPr>
        <w:t>May 15, 2014</w:t>
      </w:r>
      <w:r w:rsidRPr="00D82DF6">
        <w:rPr>
          <w:rFonts w:ascii="Bookman Old Style" w:hAnsi="Bookman Old Style"/>
          <w:snapToGrid/>
          <w:szCs w:val="24"/>
        </w:rPr>
        <w:t xml:space="preserve">. </w:t>
      </w:r>
      <w:r w:rsidR="00B81577">
        <w:rPr>
          <w:rFonts w:ascii="Bookman Old Style" w:hAnsi="Bookman Old Style"/>
          <w:snapToGrid/>
          <w:szCs w:val="24"/>
        </w:rPr>
        <w:t>He</w:t>
      </w:r>
      <w:r w:rsidRPr="00D82DF6">
        <w:rPr>
          <w:rFonts w:ascii="Bookman Old Style" w:hAnsi="Bookman Old Style"/>
          <w:snapToGrid/>
          <w:szCs w:val="24"/>
        </w:rPr>
        <w:t xml:space="preserve"> last worked on </w:t>
      </w:r>
      <w:r w:rsidR="00B81577">
        <w:rPr>
          <w:rFonts w:ascii="Bookman Old Style" w:hAnsi="Bookman Old Style"/>
          <w:snapToGrid/>
          <w:szCs w:val="24"/>
        </w:rPr>
        <w:t>August 23, 2019</w:t>
      </w:r>
      <w:r w:rsidRPr="00D82DF6">
        <w:rPr>
          <w:rFonts w:ascii="Bookman Old Style" w:hAnsi="Bookman Old Style"/>
          <w:snapToGrid/>
          <w:szCs w:val="24"/>
        </w:rPr>
        <w:t xml:space="preserve">. At that time, </w:t>
      </w:r>
      <w:r w:rsidR="00B81577">
        <w:rPr>
          <w:rFonts w:ascii="Bookman Old Style" w:hAnsi="Bookman Old Style"/>
          <w:snapToGrid/>
          <w:szCs w:val="24"/>
        </w:rPr>
        <w:t>he</w:t>
      </w:r>
      <w:r w:rsidRPr="00D82DF6">
        <w:rPr>
          <w:rFonts w:ascii="Bookman Old Style" w:hAnsi="Bookman Old Style"/>
          <w:snapToGrid/>
          <w:szCs w:val="24"/>
        </w:rPr>
        <w:t xml:space="preserve"> worked </w:t>
      </w:r>
      <w:r w:rsidR="00B81577">
        <w:rPr>
          <w:rFonts w:ascii="Bookman Old Style" w:hAnsi="Bookman Old Style"/>
          <w:snapToGrid/>
          <w:szCs w:val="24"/>
        </w:rPr>
        <w:t>part time</w:t>
      </w:r>
      <w:r w:rsidRPr="00D82DF6">
        <w:rPr>
          <w:rFonts w:ascii="Bookman Old Style" w:hAnsi="Bookman Old Style"/>
          <w:snapToGrid/>
          <w:szCs w:val="24"/>
        </w:rPr>
        <w:t xml:space="preserve"> as a </w:t>
      </w:r>
      <w:r w:rsidR="00B81577">
        <w:rPr>
          <w:rFonts w:ascii="Bookman Old Style" w:hAnsi="Bookman Old Style"/>
          <w:snapToGrid/>
          <w:szCs w:val="24"/>
        </w:rPr>
        <w:t>field assistant</w:t>
      </w:r>
      <w:r w:rsidRPr="00D82DF6">
        <w:rPr>
          <w:rFonts w:ascii="Bookman Old Style" w:hAnsi="Bookman Old Style"/>
          <w:snapToGrid/>
          <w:szCs w:val="24"/>
        </w:rPr>
        <w:t>.</w:t>
      </w:r>
    </w:p>
    <w:p w:rsidR="00B81577" w:rsidRDefault="00B81577"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was hired to work 20 hours per week and 30 hours per week in the summer when the recycle facility is busiest. As community use of the facility grew, the claimant found those hours were not sufficient to accomplish his job duties. The claimant had recently been working almost 40 hours per week.  </w:t>
      </w:r>
    </w:p>
    <w:p w:rsidR="00D82DF6" w:rsidRPr="00D82DF6" w:rsidRDefault="00B81577"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On A</w:t>
      </w:r>
      <w:r w:rsidR="00F80BA0">
        <w:rPr>
          <w:rFonts w:ascii="Bookman Old Style" w:hAnsi="Bookman Old Style"/>
          <w:snapToGrid/>
          <w:szCs w:val="24"/>
        </w:rPr>
        <w:t>ugust 13</w:t>
      </w:r>
      <w:r>
        <w:rPr>
          <w:rFonts w:ascii="Bookman Old Style" w:hAnsi="Bookman Old Style"/>
          <w:snapToGrid/>
          <w:szCs w:val="24"/>
        </w:rPr>
        <w:t xml:space="preserve">, 2019, the employer’s board of directors decided </w:t>
      </w:r>
      <w:r w:rsidR="00F80BA0">
        <w:rPr>
          <w:rFonts w:ascii="Bookman Old Style" w:hAnsi="Bookman Old Style"/>
          <w:snapToGrid/>
          <w:szCs w:val="24"/>
        </w:rPr>
        <w:t>due to budgetary reasons that</w:t>
      </w:r>
      <w:r>
        <w:rPr>
          <w:rFonts w:ascii="Bookman Old Style" w:hAnsi="Bookman Old Style"/>
          <w:snapToGrid/>
          <w:szCs w:val="24"/>
        </w:rPr>
        <w:t xml:space="preserve"> the claimant would be limited to 30 hours per week with additional hours only on approval. The employer inte</w:t>
      </w:r>
      <w:r w:rsidR="00F80BA0">
        <w:rPr>
          <w:rFonts w:ascii="Bookman Old Style" w:hAnsi="Bookman Old Style"/>
          <w:snapToGrid/>
          <w:szCs w:val="24"/>
        </w:rPr>
        <w:t>nded</w:t>
      </w:r>
      <w:r>
        <w:rPr>
          <w:rFonts w:ascii="Bookman Old Style" w:hAnsi="Bookman Old Style"/>
          <w:snapToGrid/>
          <w:szCs w:val="24"/>
        </w:rPr>
        <w:t xml:space="preserve"> encourage community volunteers to help more.  The claimant asked the employer to reconsider, as he felt like his job duties would not be accomplished in those hours and volunteers would not be helpful. On August 17, 2019, th</w:t>
      </w:r>
      <w:r w:rsidR="00F80BA0">
        <w:rPr>
          <w:rFonts w:ascii="Bookman Old Style" w:hAnsi="Bookman Old Style"/>
          <w:snapToGrid/>
          <w:szCs w:val="24"/>
        </w:rPr>
        <w:t>e employer confi</w:t>
      </w:r>
      <w:r>
        <w:rPr>
          <w:rFonts w:ascii="Bookman Old Style" w:hAnsi="Bookman Old Style"/>
          <w:snapToGrid/>
          <w:szCs w:val="24"/>
        </w:rPr>
        <w:t>rmed that the claimant’s hours would be cut.  The claimant gave his notice that day and worked through</w:t>
      </w:r>
      <w:r w:rsidR="000D3217">
        <w:rPr>
          <w:rFonts w:ascii="Bookman Old Style" w:hAnsi="Bookman Old Style"/>
          <w:snapToGrid/>
          <w:szCs w:val="24"/>
        </w:rPr>
        <w:t xml:space="preserve">    </w:t>
      </w:r>
      <w:r>
        <w:rPr>
          <w:rFonts w:ascii="Bookman Old Style" w:hAnsi="Bookman Old Style"/>
          <w:snapToGrid/>
          <w:szCs w:val="24"/>
        </w:rPr>
        <w:t xml:space="preserve"> August 23, 2019. </w:t>
      </w:r>
      <w:r w:rsidR="009A7EB9">
        <w:rPr>
          <w:rFonts w:ascii="Bookman Old Style" w:hAnsi="Bookman Old Style"/>
          <w:snapToGrid/>
          <w:szCs w:val="24"/>
        </w:rPr>
        <w:t xml:space="preserve">He had decided there was too much work for the hours allowed, things would not get done and he did not want to work for an employer that would not </w:t>
      </w:r>
      <w:r w:rsidR="00F80BA0">
        <w:rPr>
          <w:rFonts w:ascii="Bookman Old Style" w:hAnsi="Bookman Old Style"/>
          <w:snapToGrid/>
          <w:szCs w:val="24"/>
        </w:rPr>
        <w:t>follow his recommendations</w:t>
      </w:r>
      <w:r w:rsidR="009A7EB9">
        <w:rPr>
          <w:rFonts w:ascii="Bookman Old Style" w:hAnsi="Bookman Old Style"/>
          <w:snapToGrid/>
          <w:szCs w:val="24"/>
        </w:rPr>
        <w:t xml:space="preserve">. </w:t>
      </w:r>
    </w:p>
    <w:p w:rsidR="005A281D" w:rsidRPr="00D82DF6" w:rsidRDefault="005A281D" w:rsidP="00D82DF6">
      <w:pPr>
        <w:pStyle w:val="Heading4"/>
        <w:jc w:val="center"/>
        <w:rPr>
          <w:rFonts w:ascii="Bookman Old Style" w:hAnsi="Bookman Old Style"/>
          <w:szCs w:val="24"/>
        </w:rPr>
      </w:pPr>
      <w:r w:rsidRPr="00D82DF6">
        <w:rPr>
          <w:rFonts w:ascii="Bookman Old Style" w:hAnsi="Bookman Old Style"/>
          <w:szCs w:val="24"/>
        </w:rPr>
        <w:lastRenderedPageBreak/>
        <w:t>PROVISIONS OF LAW</w:t>
      </w:r>
    </w:p>
    <w:p w:rsidR="005A281D" w:rsidRPr="00D82DF6" w:rsidRDefault="005A281D" w:rsidP="00D82DF6">
      <w:pPr>
        <w:tabs>
          <w:tab w:val="left" w:pos="-1440"/>
          <w:tab w:val="left" w:pos="-720"/>
        </w:tabs>
        <w:rPr>
          <w:rFonts w:ascii="Bookman Old Style" w:hAnsi="Bookman Old Style"/>
          <w:szCs w:val="24"/>
        </w:rPr>
      </w:pPr>
    </w:p>
    <w:p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AS 23.20.379 provides in part:</w:t>
      </w:r>
    </w:p>
    <w:p w:rsidR="003E7E91" w:rsidRPr="00D82DF6" w:rsidRDefault="003E7E91" w:rsidP="00D82DF6">
      <w:pPr>
        <w:tabs>
          <w:tab w:val="left" w:pos="-1440"/>
          <w:tab w:val="left" w:pos="-720"/>
          <w:tab w:val="left" w:pos="0"/>
          <w:tab w:val="left" w:pos="720"/>
        </w:tabs>
        <w:suppressAutoHyphens/>
        <w:ind w:right="-360"/>
        <w:rPr>
          <w:rFonts w:ascii="Bookman Old Style" w:hAnsi="Bookman Old Style"/>
          <w:szCs w:val="24"/>
        </w:rPr>
      </w:pPr>
      <w:r w:rsidRPr="00D82DF6">
        <w:rPr>
          <w:rFonts w:ascii="Bookman Old Style" w:hAnsi="Bookman Old Style"/>
          <w:szCs w:val="24"/>
        </w:rPr>
        <w:tab/>
      </w:r>
    </w:p>
    <w:p w:rsidR="003E7E91" w:rsidRPr="00D82DF6" w:rsidRDefault="003E7E91" w:rsidP="00D82DF6">
      <w:pPr>
        <w:tabs>
          <w:tab w:val="left" w:pos="-1440"/>
          <w:tab w:val="left" w:pos="-720"/>
          <w:tab w:val="left" w:pos="0"/>
          <w:tab w:val="left" w:pos="1440"/>
        </w:tabs>
        <w:suppressAutoHyphens/>
        <w:ind w:left="1440" w:right="-360" w:hanging="720"/>
        <w:rPr>
          <w:rFonts w:ascii="Bookman Old Style" w:hAnsi="Bookman Old Style"/>
          <w:szCs w:val="24"/>
        </w:rPr>
      </w:pPr>
      <w:r w:rsidRPr="00D82DF6">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rsidR="003E7E91" w:rsidRPr="00D82DF6" w:rsidRDefault="003E7E91" w:rsidP="00D82DF6">
      <w:pPr>
        <w:tabs>
          <w:tab w:val="left" w:pos="-1440"/>
          <w:tab w:val="left" w:pos="-720"/>
          <w:tab w:val="left" w:pos="0"/>
          <w:tab w:val="left" w:pos="720"/>
          <w:tab w:val="left" w:pos="1440"/>
        </w:tabs>
        <w:suppressAutoHyphens/>
        <w:ind w:left="720" w:right="-360"/>
        <w:rPr>
          <w:rFonts w:ascii="Bookman Old Style" w:hAnsi="Bookman Old Style"/>
          <w:szCs w:val="24"/>
        </w:rPr>
      </w:pPr>
    </w:p>
    <w:p w:rsidR="003E7E91" w:rsidRPr="00D82DF6" w:rsidRDefault="003E7E91" w:rsidP="00D82DF6">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r w:rsidRPr="00D82DF6">
        <w:rPr>
          <w:rFonts w:ascii="Bookman Old Style" w:hAnsi="Bookman Old Style"/>
          <w:szCs w:val="24"/>
        </w:rPr>
        <w:t>left the insured worker's last suitable work voluntarily without  good cause....</w:t>
      </w:r>
    </w:p>
    <w:p w:rsidR="003E7E91" w:rsidRPr="00D82DF6" w:rsidRDefault="003E7E91" w:rsidP="00D82DF6">
      <w:pPr>
        <w:tabs>
          <w:tab w:val="left" w:pos="-1440"/>
          <w:tab w:val="left" w:pos="-720"/>
        </w:tabs>
        <w:rPr>
          <w:rFonts w:ascii="Bookman Old Style" w:hAnsi="Bookman Old Style"/>
          <w:szCs w:val="24"/>
        </w:rPr>
      </w:pPr>
    </w:p>
    <w:p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8 AAC 85.095 provides in part:</w:t>
      </w:r>
    </w:p>
    <w:p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p>
    <w:p w:rsidR="003A5235"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(c) </w:t>
      </w:r>
      <w:r w:rsidRPr="00D82DF6">
        <w:rPr>
          <w:rFonts w:ascii="Bookman Old Style" w:hAnsi="Bookman Old Style"/>
          <w:snapToGrid/>
          <w:szCs w:val="24"/>
        </w:rPr>
        <w:tab/>
        <w:t xml:space="preserve">To determine the existence of good cause under AS 23.20.379(a)(1) for voluntarily leaving work determined to be suitable under </w:t>
      </w:r>
    </w:p>
    <w:p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AS 23.20.385, the department will consider only the following factors:</w:t>
      </w:r>
    </w:p>
    <w:p w:rsidR="003E7E91" w:rsidRPr="00D82DF6" w:rsidRDefault="003E7E91" w:rsidP="00D82DF6">
      <w:pPr>
        <w:widowControl/>
        <w:autoSpaceDE w:val="0"/>
        <w:autoSpaceDN w:val="0"/>
        <w:adjustRightInd w:val="0"/>
        <w:ind w:left="1440" w:hanging="720"/>
        <w:rPr>
          <w:rFonts w:ascii="Bookman Old Style" w:hAnsi="Bookman Old Style"/>
          <w:snapToGrid/>
          <w:szCs w:val="24"/>
        </w:rPr>
      </w:pP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(1) </w:t>
      </w:r>
      <w:r w:rsidRPr="00D82DF6">
        <w:rPr>
          <w:rFonts w:ascii="Bookman Old Style" w:hAnsi="Bookman Old Style"/>
          <w:snapToGrid/>
          <w:szCs w:val="24"/>
        </w:rPr>
        <w:tab/>
        <w:t>leaving work due to a disability or illness of the claimant that makes it impossible for the claimant to perform the duties required by the work, if the claimant has no other reasonable alternative but to leave work;</w:t>
      </w: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(2) </w:t>
      </w:r>
      <w:r w:rsidRPr="00D82DF6">
        <w:rPr>
          <w:rFonts w:ascii="Bookman Old Style" w:hAnsi="Bookman Old Style"/>
          <w:snapToGrid/>
          <w:szCs w:val="24"/>
        </w:rPr>
        <w:tab/>
        <w:t>leaving work to care for an immediate family member who has a disability or illness;</w:t>
      </w: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(3) </w:t>
      </w:r>
      <w:r w:rsidRPr="00D82DF6">
        <w:rPr>
          <w:rFonts w:ascii="Bookman Old Style" w:hAnsi="Bookman Old Style"/>
          <w:snapToGrid/>
          <w:szCs w:val="24"/>
        </w:rPr>
        <w:tab/>
        <w:t>leaving work due to safety or other working conditions or an employment agreement related directly to the work, if the claimant has no other reasonable alternative but to leave work;</w:t>
      </w: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(4) </w:t>
      </w:r>
      <w:r w:rsidRPr="00D82DF6">
        <w:rPr>
          <w:rFonts w:ascii="Bookman Old Style" w:hAnsi="Bookman Old Style"/>
          <w:snapToGrid/>
          <w:szCs w:val="24"/>
        </w:rPr>
        <w:tab/>
        <w:t>leaving work to accompany or join a spouse at a change of location, if commuting from the new location to the claimant’s work is impractical; for purposes of this paragraph, the change of location must be as a result of the spouse’s</w:t>
      </w:r>
    </w:p>
    <w:p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(A) discharge from military service; or</w:t>
      </w:r>
    </w:p>
    <w:p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(B) employment;</w:t>
      </w:r>
    </w:p>
    <w:p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 xml:space="preserve">(5) </w:t>
      </w:r>
      <w:r w:rsidRPr="00D82DF6">
        <w:rPr>
          <w:rFonts w:ascii="Bookman Old Style" w:hAnsi="Bookman Old Style"/>
          <w:snapToGrid/>
          <w:szCs w:val="24"/>
        </w:rPr>
        <w:tab/>
        <w:t>leaving unskilled work to attend a vocational training or retraining course approved by the director under AS 23.20.382, only if the claimant enters the course immediately upon separating from work;</w:t>
      </w:r>
    </w:p>
    <w:p w:rsidR="003E7E91" w:rsidRPr="00D82DF6" w:rsidRDefault="00D82DF6" w:rsidP="003311C5">
      <w:pPr>
        <w:widowControl/>
        <w:autoSpaceDE w:val="0"/>
        <w:autoSpaceDN w:val="0"/>
        <w:adjustRightInd w:val="0"/>
        <w:ind w:left="2160" w:hanging="66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r w:rsidR="003E7E91" w:rsidRPr="00D82DF6">
        <w:rPr>
          <w:rFonts w:ascii="Bookman Old Style" w:hAnsi="Bookman Old Style"/>
          <w:snapToGrid/>
          <w:szCs w:val="24"/>
        </w:rPr>
        <w:t>leaving work in order to protect the claimant or the               claimant’s immediate family members from harassment or    violence;</w:t>
      </w:r>
    </w:p>
    <w:p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(7)</w:t>
      </w:r>
      <w:r w:rsidRPr="00D82DF6">
        <w:rPr>
          <w:rFonts w:ascii="Bookman Old Style" w:hAnsi="Bookman Old Style"/>
          <w:snapToGrid/>
          <w:szCs w:val="24"/>
        </w:rPr>
        <w:tab/>
        <w:t xml:space="preserve">leaving work to accept a bonafide offer of </w:t>
      </w:r>
      <w:r w:rsidR="003311C5">
        <w:rPr>
          <w:rFonts w:ascii="Bookman Old Style" w:hAnsi="Bookman Old Style"/>
          <w:snapToGrid/>
          <w:szCs w:val="24"/>
        </w:rPr>
        <w:t xml:space="preserve">work that offers      </w:t>
      </w:r>
      <w:r w:rsidRPr="00D82DF6">
        <w:rPr>
          <w:rFonts w:ascii="Bookman Old Style" w:hAnsi="Bookman Old Style"/>
          <w:snapToGrid/>
          <w:szCs w:val="24"/>
        </w:rPr>
        <w:t>better wages, benefits, hours, o</w:t>
      </w:r>
      <w:r w:rsidR="003311C5">
        <w:rPr>
          <w:rFonts w:ascii="Bookman Old Style" w:hAnsi="Bookman Old Style"/>
          <w:snapToGrid/>
          <w:szCs w:val="24"/>
        </w:rPr>
        <w:t xml:space="preserve">r other working conditions; if </w:t>
      </w:r>
      <w:r w:rsidRPr="00D82DF6">
        <w:rPr>
          <w:rFonts w:ascii="Bookman Old Style" w:hAnsi="Bookman Old Style"/>
          <w:snapToGrid/>
          <w:szCs w:val="24"/>
        </w:rPr>
        <w:lastRenderedPageBreak/>
        <w:t xml:space="preserve">the new work does not materialize, the reasons for the work  not materializing must not be due to the fault of the worker; </w:t>
      </w:r>
    </w:p>
    <w:p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(8)</w:t>
      </w:r>
      <w:r w:rsidRPr="00D82DF6">
        <w:rPr>
          <w:rFonts w:ascii="Bookman Old Style" w:hAnsi="Bookman Old Style"/>
          <w:snapToGrid/>
          <w:szCs w:val="24"/>
        </w:rPr>
        <w:tab/>
        <w:t>other factors listed in AS 23.20.385(b).</w:t>
      </w:r>
    </w:p>
    <w:p w:rsidR="003E7E91" w:rsidRPr="00D82DF6" w:rsidRDefault="003E7E91" w:rsidP="00D82DF6">
      <w:pPr>
        <w:widowControl/>
        <w:autoSpaceDE w:val="0"/>
        <w:autoSpaceDN w:val="0"/>
        <w:adjustRightInd w:val="0"/>
        <w:rPr>
          <w:rFonts w:ascii="Bookman Old Style" w:hAnsi="Bookman Old Style"/>
          <w:b/>
          <w:snapToGrid/>
          <w:szCs w:val="24"/>
        </w:rPr>
      </w:pPr>
    </w:p>
    <w:p w:rsidR="003E7E91" w:rsidRPr="00D82DF6" w:rsidRDefault="003E7E91" w:rsidP="00D82DF6">
      <w:pPr>
        <w:widowControl/>
        <w:autoSpaceDE w:val="0"/>
        <w:autoSpaceDN w:val="0"/>
        <w:adjustRightInd w:val="0"/>
        <w:rPr>
          <w:rFonts w:ascii="Bookman Old Style" w:hAnsi="Bookman Old Style"/>
          <w:b/>
          <w:snapToGrid/>
          <w:szCs w:val="24"/>
        </w:rPr>
      </w:pPr>
      <w:r w:rsidRPr="00D82DF6">
        <w:rPr>
          <w:rFonts w:ascii="Bookman Old Style" w:hAnsi="Bookman Old Style"/>
          <w:b/>
          <w:snapToGrid/>
          <w:szCs w:val="24"/>
        </w:rPr>
        <w:t>AS 23.20.385(b) provides, in part:</w:t>
      </w:r>
    </w:p>
    <w:p w:rsidR="003E7E91" w:rsidRPr="00D82DF6" w:rsidRDefault="003E7E91" w:rsidP="00D82DF6">
      <w:pPr>
        <w:widowControl/>
        <w:autoSpaceDE w:val="0"/>
        <w:autoSpaceDN w:val="0"/>
        <w:adjustRightInd w:val="0"/>
        <w:rPr>
          <w:rFonts w:ascii="Bookman Old Style" w:hAnsi="Bookman Old Style"/>
          <w:snapToGrid/>
          <w:szCs w:val="24"/>
        </w:rPr>
      </w:pPr>
    </w:p>
    <w:p w:rsidR="003E7E91"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(b) </w:t>
      </w:r>
      <w:r w:rsidRPr="00D82DF6">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other factors that influence a reasonably prudent person in the claimant's circumstances.</w:t>
      </w:r>
    </w:p>
    <w:p w:rsidR="0080245E" w:rsidRPr="00D82DF6" w:rsidRDefault="0080245E" w:rsidP="00D82DF6">
      <w:pPr>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CONCLUSION</w:t>
      </w:r>
    </w:p>
    <w:p w:rsidR="00441439" w:rsidRPr="00D82DF6" w:rsidRDefault="00441439" w:rsidP="00D82DF6">
      <w:pPr>
        <w:rPr>
          <w:rFonts w:ascii="Bookman Old Style" w:hAnsi="Bookman Old Style"/>
          <w:szCs w:val="24"/>
        </w:rPr>
      </w:pPr>
    </w:p>
    <w:p w:rsidR="00F80BA0" w:rsidRDefault="00F80BA0" w:rsidP="00F80BA0">
      <w:pPr>
        <w:suppressAutoHyphens/>
        <w:spacing w:line="264" w:lineRule="auto"/>
        <w:rPr>
          <w:rFonts w:ascii="Bookman Old Style" w:hAnsi="Bookman Old Style"/>
          <w:spacing w:val="-3"/>
        </w:rPr>
      </w:pPr>
      <w:r>
        <w:rPr>
          <w:rFonts w:ascii="Bookman Old Style" w:hAnsi="Bookman Old Style"/>
          <w:spacing w:val="-3"/>
        </w:rPr>
        <w:t xml:space="preserve">The claimant voluntarily quit work when his hours were cut to 30 hours per week. </w:t>
      </w:r>
    </w:p>
    <w:p w:rsidR="00F80BA0" w:rsidRDefault="00F80BA0" w:rsidP="00F80BA0">
      <w:pPr>
        <w:suppressAutoHyphens/>
        <w:spacing w:line="264" w:lineRule="auto"/>
        <w:rPr>
          <w:rFonts w:ascii="Bookman Old Style" w:hAnsi="Bookman Old Style"/>
          <w:spacing w:val="-3"/>
        </w:rPr>
      </w:pPr>
    </w:p>
    <w:p w:rsidR="006A3089" w:rsidRPr="006A3089" w:rsidRDefault="006A3089" w:rsidP="006A3089">
      <w:pPr>
        <w:tabs>
          <w:tab w:val="left" w:pos="-1440"/>
          <w:tab w:val="left" w:pos="-720"/>
        </w:tabs>
        <w:suppressAutoHyphens/>
        <w:ind w:left="720"/>
        <w:rPr>
          <w:rFonts w:ascii="Bookman Old Style" w:hAnsi="Bookman Old Style"/>
          <w:i/>
        </w:rPr>
      </w:pPr>
      <w:r w:rsidRPr="006A3089">
        <w:rPr>
          <w:rFonts w:ascii="Bookman Old Style" w:hAnsi="Bookman Old Style"/>
          <w:i/>
        </w:rPr>
        <w:t xml:space="preserve">"Once having voluntarily quit, it is the burden of the claimant to establish good cause."  </w:t>
      </w:r>
      <w:r w:rsidRPr="006A3089">
        <w:rPr>
          <w:rFonts w:ascii="Bookman Old Style" w:hAnsi="Bookman Old Style"/>
          <w:i/>
          <w:u w:val="single"/>
        </w:rPr>
        <w:t>Fogleson</w:t>
      </w:r>
      <w:r>
        <w:rPr>
          <w:rFonts w:ascii="Bookman Old Style" w:hAnsi="Bookman Old Style"/>
          <w:i/>
        </w:rPr>
        <w:t>, Com.</w:t>
      </w:r>
      <w:r w:rsidRPr="006A3089">
        <w:rPr>
          <w:rFonts w:ascii="Bookman Old Style" w:hAnsi="Bookman Old Style"/>
          <w:i/>
        </w:rPr>
        <w:t xml:space="preserve"> Dec. 8822584, February 28, 1989.</w:t>
      </w:r>
    </w:p>
    <w:p w:rsidR="006A3089" w:rsidRPr="006A3089" w:rsidRDefault="006A3089" w:rsidP="006A3089">
      <w:pPr>
        <w:tabs>
          <w:tab w:val="left" w:pos="-1440"/>
          <w:tab w:val="left" w:pos="-720"/>
        </w:tabs>
        <w:suppressAutoHyphens/>
        <w:rPr>
          <w:rFonts w:ascii="Bookman Old Style" w:hAnsi="Bookman Old Style"/>
        </w:rPr>
      </w:pPr>
    </w:p>
    <w:p w:rsidR="006A3089" w:rsidRPr="006A3089" w:rsidRDefault="006A3089" w:rsidP="006A3089">
      <w:pPr>
        <w:tabs>
          <w:tab w:val="left" w:pos="-1440"/>
          <w:tab w:val="left" w:pos="-720"/>
        </w:tabs>
        <w:suppressAutoHyphens/>
        <w:rPr>
          <w:rFonts w:ascii="Bookman Old Style" w:hAnsi="Bookman Old Style"/>
        </w:rPr>
      </w:pPr>
      <w:r w:rsidRPr="006A3089">
        <w:rPr>
          <w:rFonts w:ascii="Bookman Old Style" w:hAnsi="Bookman Old Style"/>
        </w:rPr>
        <w:t xml:space="preserve">In </w:t>
      </w:r>
      <w:r w:rsidRPr="006A3089">
        <w:rPr>
          <w:rFonts w:ascii="Bookman Old Style" w:hAnsi="Bookman Old Style"/>
          <w:u w:val="single"/>
        </w:rPr>
        <w:t>McCarthy</w:t>
      </w:r>
      <w:r>
        <w:rPr>
          <w:rFonts w:ascii="Bookman Old Style" w:hAnsi="Bookman Old Style"/>
        </w:rPr>
        <w:t>, Com.</w:t>
      </w:r>
      <w:r w:rsidRPr="006A3089">
        <w:rPr>
          <w:rFonts w:ascii="Bookman Old Style" w:hAnsi="Bookman Old Style"/>
        </w:rPr>
        <w:t xml:space="preserve"> Dec. 9427041, July 29, 1994, the Commissioner of Labor addressed whether a reduction of work hours provided good cause for quitting.  The Commissioner held:</w:t>
      </w:r>
    </w:p>
    <w:p w:rsidR="006A3089" w:rsidRPr="006A3089" w:rsidRDefault="006A3089" w:rsidP="006A3089">
      <w:pPr>
        <w:tabs>
          <w:tab w:val="left" w:pos="-1440"/>
          <w:tab w:val="left" w:pos="-720"/>
        </w:tabs>
        <w:suppressAutoHyphens/>
        <w:rPr>
          <w:rFonts w:ascii="Bookman Old Style" w:hAnsi="Bookman Old Style"/>
        </w:rPr>
      </w:pPr>
    </w:p>
    <w:p w:rsidR="006A3089" w:rsidRPr="006A3089" w:rsidRDefault="006A3089" w:rsidP="006A3089">
      <w:pPr>
        <w:tabs>
          <w:tab w:val="left" w:pos="-1440"/>
          <w:tab w:val="left" w:pos="-720"/>
          <w:tab w:val="left" w:pos="0"/>
        </w:tabs>
        <w:suppressAutoHyphens/>
        <w:ind w:left="720" w:right="720" w:hanging="720"/>
        <w:rPr>
          <w:rFonts w:ascii="Bookman Old Style" w:hAnsi="Bookman Old Style"/>
          <w:i/>
        </w:rPr>
      </w:pPr>
      <w:r w:rsidRPr="006A3089">
        <w:rPr>
          <w:rFonts w:ascii="Bookman Old Style" w:hAnsi="Bookman Old Style"/>
        </w:rPr>
        <w:tab/>
      </w:r>
      <w:r w:rsidRPr="006A3089">
        <w:rPr>
          <w:rFonts w:ascii="Bookman Old Style" w:hAnsi="Bookman Old Style"/>
          <w:i/>
        </w:rPr>
        <w:t xml:space="preserve">We have previously held that a cut in hours, in and of itself, does not constitute good cause for leaving otherwise suitable work. </w:t>
      </w:r>
      <w:r w:rsidRPr="006A3089">
        <w:rPr>
          <w:rFonts w:ascii="Bookman Old Style" w:hAnsi="Bookman Old Style"/>
          <w:i/>
          <w:u w:val="single"/>
        </w:rPr>
        <w:t>In re Thomas</w:t>
      </w:r>
      <w:r w:rsidRPr="006A3089">
        <w:rPr>
          <w:rFonts w:ascii="Bookman Old Style" w:hAnsi="Bookman Old Style"/>
          <w:i/>
        </w:rPr>
        <w:t>, Com. Dec. 86H-UI-145, May 15, 1986.  Usually a cut back in hours gives the claimant the time necessary to look for other work, and possibly qualify for unemployment benefits while working part time.</w:t>
      </w:r>
    </w:p>
    <w:p w:rsidR="00F80BA0" w:rsidRDefault="00F80BA0" w:rsidP="00F80BA0"/>
    <w:p w:rsidR="006A3089" w:rsidRPr="006A3089" w:rsidRDefault="006A3089" w:rsidP="006A3089">
      <w:pPr>
        <w:tabs>
          <w:tab w:val="left" w:pos="-1440"/>
          <w:tab w:val="left" w:pos="-720"/>
        </w:tabs>
        <w:suppressAutoHyphens/>
        <w:rPr>
          <w:rFonts w:ascii="Bookman Old Style" w:hAnsi="Bookman Old Style"/>
        </w:rPr>
      </w:pPr>
      <w:r w:rsidRPr="006A3089">
        <w:rPr>
          <w:rFonts w:ascii="Bookman Old Style" w:hAnsi="Bookman Old Style"/>
        </w:rPr>
        <w:t xml:space="preserve">In </w:t>
      </w:r>
      <w:r w:rsidRPr="006A3089">
        <w:rPr>
          <w:rFonts w:ascii="Bookman Old Style" w:hAnsi="Bookman Old Style"/>
          <w:u w:val="single"/>
        </w:rPr>
        <w:t>Missall</w:t>
      </w:r>
      <w:r>
        <w:rPr>
          <w:rFonts w:ascii="Bookman Old Style" w:hAnsi="Bookman Old Style"/>
        </w:rPr>
        <w:t>, Com.</w:t>
      </w:r>
      <w:r w:rsidRPr="006A3089">
        <w:rPr>
          <w:rFonts w:ascii="Bookman Old Style" w:hAnsi="Bookman Old Style"/>
        </w:rPr>
        <w:t xml:space="preserve"> Dec. 8924740, April 17, 1990, the Commissioner of Labor summarized Department policy regarding what constitutes good cause for voluntarily leaving work.  The Commissioner held, in part:</w:t>
      </w:r>
    </w:p>
    <w:p w:rsidR="006A3089" w:rsidRPr="006A3089" w:rsidRDefault="006A3089" w:rsidP="006A3089">
      <w:pPr>
        <w:tabs>
          <w:tab w:val="left" w:pos="-1440"/>
          <w:tab w:val="left" w:pos="-720"/>
        </w:tabs>
        <w:suppressAutoHyphens/>
        <w:rPr>
          <w:rFonts w:ascii="Bookman Old Style" w:hAnsi="Bookman Old Style"/>
        </w:rPr>
      </w:pPr>
    </w:p>
    <w:p w:rsidR="006A3089" w:rsidRPr="006A3089" w:rsidRDefault="006A3089" w:rsidP="006A3089">
      <w:pPr>
        <w:tabs>
          <w:tab w:val="left" w:pos="-1440"/>
          <w:tab w:val="left" w:pos="-720"/>
          <w:tab w:val="left" w:pos="0"/>
        </w:tabs>
        <w:suppressAutoHyphens/>
        <w:ind w:left="720" w:right="720" w:hanging="720"/>
        <w:rPr>
          <w:rFonts w:ascii="Bookman Old Style" w:hAnsi="Bookman Old Style"/>
        </w:rPr>
      </w:pPr>
      <w:r w:rsidRPr="006A3089">
        <w:rPr>
          <w:rFonts w:ascii="Bookman Old Style" w:hAnsi="Bookman Old Style"/>
        </w:rPr>
        <w:tab/>
      </w:r>
      <w:r w:rsidRPr="006A3089">
        <w:rPr>
          <w:rFonts w:ascii="Bookman Old Style" w:hAnsi="Bookman Old Style"/>
          <w:i/>
        </w:rPr>
        <w:t xml:space="preserve">The basic definition of good cause is 'circumstances so compelling in nature as to leave the individual no reasonable alternative.'  (Cite omitted.)  A compelling circumstance is one 'such that the reasonable </w:t>
      </w:r>
      <w:r w:rsidRPr="006A3089">
        <w:rPr>
          <w:rFonts w:ascii="Bookman Old Style" w:hAnsi="Bookman Old Style"/>
          <w:i/>
        </w:rPr>
        <w:lastRenderedPageBreak/>
        <w:t>and prudent person would be justified in quitting his job under similar circumstances.'  (Cite omitted).  Therefore, the definition of good cause contains two elements; the reason for the quit must be compelling, and the worker must</w:t>
      </w:r>
      <w:r w:rsidRPr="006A3089">
        <w:rPr>
          <w:rFonts w:ascii="Bookman Old Style" w:hAnsi="Bookman Old Style"/>
        </w:rPr>
        <w:t xml:space="preserve"> exhaust all reasonable alternatives before quitting.</w:t>
      </w:r>
    </w:p>
    <w:p w:rsidR="00441439" w:rsidRDefault="00441439" w:rsidP="00D82DF6">
      <w:pPr>
        <w:tabs>
          <w:tab w:val="left" w:pos="-1440"/>
          <w:tab w:val="left" w:pos="-720"/>
        </w:tabs>
        <w:rPr>
          <w:rFonts w:ascii="Bookman Old Style" w:hAnsi="Bookman Old Style"/>
          <w:szCs w:val="24"/>
        </w:rPr>
      </w:pPr>
    </w:p>
    <w:p w:rsidR="006A3089" w:rsidRDefault="006A3089" w:rsidP="00D82DF6">
      <w:pPr>
        <w:tabs>
          <w:tab w:val="left" w:pos="-1440"/>
          <w:tab w:val="left" w:pos="-720"/>
        </w:tabs>
        <w:rPr>
          <w:rFonts w:ascii="Bookman Old Style" w:hAnsi="Bookman Old Style"/>
          <w:szCs w:val="24"/>
        </w:rPr>
      </w:pPr>
      <w:r>
        <w:rPr>
          <w:rFonts w:ascii="Bookman Old Style" w:hAnsi="Bookman Old Style"/>
          <w:szCs w:val="24"/>
        </w:rPr>
        <w:t xml:space="preserve">The claimant in this case did not establish that he had a compelling reason to voluntarily leave work at the time he did.  As in </w:t>
      </w:r>
      <w:r w:rsidRPr="006A3089">
        <w:rPr>
          <w:rFonts w:ascii="Bookman Old Style" w:hAnsi="Bookman Old Style"/>
          <w:szCs w:val="24"/>
          <w:u w:val="single"/>
        </w:rPr>
        <w:t>McCarthy</w:t>
      </w:r>
      <w:r>
        <w:rPr>
          <w:rFonts w:ascii="Bookman Old Style" w:hAnsi="Bookman Old Style"/>
          <w:szCs w:val="24"/>
        </w:rPr>
        <w:t xml:space="preserve">, a cut in hours does not constitute good cause for leaving work, as the claimant went from a situation of reduced wages to no wages, and a cut in hours provided the claimant with time to look for other work. </w:t>
      </w:r>
    </w:p>
    <w:p w:rsidR="006A3089" w:rsidRDefault="006A3089" w:rsidP="00D82DF6">
      <w:pPr>
        <w:tabs>
          <w:tab w:val="left" w:pos="-1440"/>
          <w:tab w:val="left" w:pos="-720"/>
        </w:tabs>
        <w:rPr>
          <w:rFonts w:ascii="Bookman Old Style" w:hAnsi="Bookman Old Style"/>
          <w:szCs w:val="24"/>
        </w:rPr>
      </w:pPr>
    </w:p>
    <w:p w:rsidR="006A3089" w:rsidRDefault="006A3089" w:rsidP="00D82DF6">
      <w:pPr>
        <w:tabs>
          <w:tab w:val="left" w:pos="-1440"/>
          <w:tab w:val="left" w:pos="-720"/>
        </w:tabs>
        <w:rPr>
          <w:rFonts w:ascii="Bookman Old Style" w:hAnsi="Bookman Old Style"/>
          <w:szCs w:val="24"/>
        </w:rPr>
      </w:pPr>
      <w:r>
        <w:rPr>
          <w:rFonts w:ascii="Bookman Old Style" w:hAnsi="Bookman Old Style"/>
          <w:szCs w:val="24"/>
        </w:rPr>
        <w:t xml:space="preserve">The claimant did not have good cause to leave work.  The penalties of            AS 23.20.379 are appropriate. </w:t>
      </w:r>
    </w:p>
    <w:p w:rsidR="006A3089" w:rsidRPr="00D82DF6" w:rsidRDefault="006A3089" w:rsidP="00D82DF6">
      <w:pPr>
        <w:tabs>
          <w:tab w:val="left" w:pos="-1440"/>
          <w:tab w:val="left" w:pos="-720"/>
        </w:tabs>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DECISION</w:t>
      </w:r>
    </w:p>
    <w:p w:rsidR="00441439" w:rsidRPr="00D82DF6" w:rsidRDefault="00441439" w:rsidP="00D82DF6">
      <w:pPr>
        <w:tabs>
          <w:tab w:val="left" w:pos="-1440"/>
          <w:tab w:val="left" w:pos="-720"/>
        </w:tabs>
        <w:rPr>
          <w:rFonts w:ascii="Bookman Old Style" w:hAnsi="Bookman Old Style"/>
          <w:szCs w:val="24"/>
        </w:rPr>
      </w:pPr>
    </w:p>
    <w:p w:rsidR="00D82DF6" w:rsidRPr="00D82DF6" w:rsidRDefault="00D82DF6" w:rsidP="00D82DF6">
      <w:pPr>
        <w:tabs>
          <w:tab w:val="left" w:pos="-1440"/>
          <w:tab w:val="left" w:pos="-720"/>
        </w:tabs>
        <w:suppressAutoHyphens/>
        <w:ind w:right="-360"/>
        <w:rPr>
          <w:rFonts w:ascii="Bookman Old Style" w:hAnsi="Bookman Old Style"/>
          <w:szCs w:val="24"/>
        </w:rPr>
      </w:pPr>
      <w:r w:rsidRPr="00D82DF6">
        <w:rPr>
          <w:rFonts w:ascii="Bookman Old Style" w:hAnsi="Bookman Old Style"/>
          <w:szCs w:val="24"/>
        </w:rPr>
        <w:t xml:space="preserve">The determination issued on </w:t>
      </w:r>
      <w:r w:rsidR="00E7258D">
        <w:rPr>
          <w:rFonts w:ascii="Bookman Old Style" w:hAnsi="Bookman Old Style"/>
          <w:szCs w:val="24"/>
        </w:rPr>
        <w:t>October 11, 2019</w:t>
      </w:r>
      <w:r w:rsidRPr="00D82DF6">
        <w:rPr>
          <w:rFonts w:ascii="Bookman Old Style" w:hAnsi="Bookman Old Style"/>
          <w:szCs w:val="24"/>
        </w:rPr>
        <w:t xml:space="preserve"> is </w:t>
      </w:r>
      <w:r w:rsidR="00E7258D">
        <w:rPr>
          <w:rFonts w:ascii="Bookman Old Style" w:hAnsi="Bookman Old Style"/>
          <w:b/>
          <w:szCs w:val="24"/>
        </w:rPr>
        <w:t>AFFIRMED</w:t>
      </w:r>
      <w:r w:rsidRPr="00D82DF6">
        <w:rPr>
          <w:rFonts w:ascii="Bookman Old Style" w:hAnsi="Bookman Old Style"/>
          <w:b/>
          <w:szCs w:val="24"/>
        </w:rPr>
        <w:t xml:space="preserve">. </w:t>
      </w:r>
      <w:r w:rsidRPr="00D82DF6">
        <w:rPr>
          <w:rFonts w:ascii="Bookman Old Style" w:hAnsi="Bookman Old Style"/>
          <w:szCs w:val="24"/>
        </w:rPr>
        <w:t xml:space="preserve">Benefits </w:t>
      </w:r>
      <w:r w:rsidR="00E7258D">
        <w:rPr>
          <w:rFonts w:ascii="Bookman Old Style" w:hAnsi="Bookman Old Style"/>
          <w:szCs w:val="24"/>
        </w:rPr>
        <w:t xml:space="preserve">remain </w:t>
      </w:r>
      <w:r w:rsidRPr="00E7258D">
        <w:rPr>
          <w:rFonts w:ascii="Bookman Old Style" w:hAnsi="Bookman Old Style"/>
          <w:b/>
          <w:szCs w:val="24"/>
        </w:rPr>
        <w:t>DENIED</w:t>
      </w:r>
      <w:r w:rsidRPr="00D82DF6">
        <w:rPr>
          <w:rFonts w:ascii="Bookman Old Style" w:hAnsi="Bookman Old Style"/>
          <w:szCs w:val="24"/>
        </w:rPr>
        <w:t xml:space="preserve"> for the weeks ending </w:t>
      </w:r>
      <w:r w:rsidR="00E7258D">
        <w:rPr>
          <w:rFonts w:ascii="Bookman Old Style" w:hAnsi="Bookman Old Style"/>
          <w:szCs w:val="24"/>
        </w:rPr>
        <w:t>August 31, 2019 through October 5, 2019</w:t>
      </w:r>
      <w:r w:rsidRPr="00D82DF6">
        <w:rPr>
          <w:rFonts w:ascii="Bookman Old Style" w:hAnsi="Bookman Old Style"/>
          <w:szCs w:val="24"/>
        </w:rPr>
        <w:t xml:space="preserve">. The three weeks </w:t>
      </w:r>
      <w:r w:rsidR="00E7258D">
        <w:rPr>
          <w:rFonts w:ascii="Bookman Old Style" w:hAnsi="Bookman Old Style"/>
          <w:szCs w:val="24"/>
        </w:rPr>
        <w:t xml:space="preserve">remain </w:t>
      </w:r>
      <w:r w:rsidRPr="00D82DF6">
        <w:rPr>
          <w:rFonts w:ascii="Bookman Old Style" w:hAnsi="Bookman Old Style"/>
          <w:szCs w:val="24"/>
        </w:rPr>
        <w:t>reduced from the claimant’s maximum benefits. The claimant may not be eligible for extended benefits under AS 23.20.406-409.</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APPEAL RIGHTS</w:t>
      </w:r>
    </w:p>
    <w:p w:rsidR="00441439" w:rsidRPr="00D82DF6" w:rsidRDefault="00441439" w:rsidP="00D82DF6">
      <w:pPr>
        <w:tabs>
          <w:tab w:val="left" w:pos="-1440"/>
          <w:tab w:val="left" w:pos="-720"/>
        </w:tabs>
        <w:rPr>
          <w:rFonts w:ascii="Bookman Old Style" w:hAnsi="Bookman Old Style"/>
          <w:szCs w:val="24"/>
        </w:rPr>
      </w:pPr>
    </w:p>
    <w:p w:rsidR="00D82DF6" w:rsidRPr="00D82DF6" w:rsidRDefault="00D82DF6" w:rsidP="00D82DF6">
      <w:pPr>
        <w:rPr>
          <w:rFonts w:ascii="Bookman Old Style" w:hAnsi="Bookman Old Style"/>
          <w:szCs w:val="24"/>
        </w:rPr>
      </w:pPr>
      <w:r w:rsidRPr="00D82DF6">
        <w:rPr>
          <w:rFonts w:ascii="Bookman Old Style" w:hAnsi="Bookman Old Style"/>
          <w:szCs w:val="24"/>
        </w:rPr>
        <w:t xml:space="preserve">This decision is final unless an appeal is filed in writing to the Commissioner of Labor and Workforce Development </w:t>
      </w:r>
      <w:r w:rsidRPr="00D82DF6">
        <w:rPr>
          <w:rFonts w:ascii="Bookman Old Style" w:hAnsi="Bookman Old Style"/>
          <w:b/>
          <w:szCs w:val="24"/>
          <w:u w:val="single"/>
        </w:rPr>
        <w:t>within 30 days</w:t>
      </w:r>
      <w:r w:rsidRPr="00D82DF6">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B24371" w:rsidP="00D82DF6">
      <w:pPr>
        <w:tabs>
          <w:tab w:val="left" w:pos="-1440"/>
          <w:tab w:val="left" w:pos="-720"/>
        </w:tabs>
        <w:rPr>
          <w:rFonts w:ascii="Bookman Old Style" w:hAnsi="Bookman Old Style"/>
          <w:szCs w:val="24"/>
        </w:rPr>
      </w:pPr>
      <w:r w:rsidRPr="00D82DF6">
        <w:rPr>
          <w:rFonts w:ascii="Bookman Old Style" w:hAnsi="Bookman Old Style"/>
          <w:szCs w:val="24"/>
        </w:rPr>
        <w:t>Dated and m</w:t>
      </w:r>
      <w:r w:rsidR="00441439" w:rsidRPr="00D82DF6">
        <w:rPr>
          <w:rFonts w:ascii="Bookman Old Style" w:hAnsi="Bookman Old Style"/>
          <w:szCs w:val="24"/>
        </w:rPr>
        <w:t xml:space="preserve">ailed on </w:t>
      </w:r>
      <w:r w:rsidR="00E7258D">
        <w:rPr>
          <w:rFonts w:ascii="Bookman Old Style" w:hAnsi="Bookman Old Style"/>
          <w:szCs w:val="24"/>
        </w:rPr>
        <w:t>December 16, 2019</w:t>
      </w:r>
      <w:r w:rsidR="00441439" w:rsidRPr="00D82DF6">
        <w:rPr>
          <w:rFonts w:ascii="Bookman Old Style" w:hAnsi="Bookman Old Style"/>
          <w:szCs w:val="24"/>
        </w:rPr>
        <w:t>.</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 xml:space="preserve">       </w:t>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tabs>
          <w:tab w:val="left" w:pos="-1440"/>
          <w:tab w:val="left" w:pos="-720"/>
        </w:tabs>
        <w:rPr>
          <w:rFonts w:ascii="Bookman Old Style" w:hAnsi="Bookman Old Style"/>
          <w:szCs w:val="24"/>
        </w:rPr>
      </w:pPr>
    </w:p>
    <w:p w:rsidR="00774034"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r w:rsidR="00E7258D">
        <w:rPr>
          <w:rFonts w:ascii="Bookman Old Style" w:hAnsi="Bookman Old Style"/>
          <w:szCs w:val="24"/>
        </w:rPr>
        <w:t>Rhonda Buness</w:t>
      </w:r>
      <w:r w:rsidRPr="00D82DF6">
        <w:rPr>
          <w:rFonts w:ascii="Bookman Old Style" w:hAnsi="Bookman Old Style"/>
          <w:szCs w:val="24"/>
        </w:rPr>
        <w:t xml:space="preserve">, </w:t>
      </w:r>
      <w:r w:rsidR="00003DC3">
        <w:rPr>
          <w:rFonts w:ascii="Bookman Old Style" w:hAnsi="Bookman Old Style"/>
          <w:szCs w:val="24"/>
        </w:rPr>
        <w:t>Appeals</w:t>
      </w:r>
      <w:r w:rsidRPr="00D82DF6">
        <w:rPr>
          <w:rFonts w:ascii="Bookman Old Style" w:hAnsi="Bookman Old Style"/>
          <w:szCs w:val="24"/>
        </w:rPr>
        <w:t xml:space="preserve"> Officer</w:t>
      </w:r>
    </w:p>
    <w:sectPr w:rsidR="00774034" w:rsidRPr="00D82DF6">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9C3" w:rsidRDefault="003C79C3">
      <w:pPr>
        <w:widowControl/>
        <w:spacing w:line="20" w:lineRule="exact"/>
      </w:pPr>
    </w:p>
  </w:endnote>
  <w:endnote w:type="continuationSeparator" w:id="0">
    <w:p w:rsidR="003C79C3" w:rsidRDefault="003C79C3">
      <w:r>
        <w:t xml:space="preserve"> </w:t>
      </w:r>
    </w:p>
  </w:endnote>
  <w:endnote w:type="continuationNotice" w:id="1">
    <w:p w:rsidR="003C79C3" w:rsidRDefault="003C79C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9C3" w:rsidRDefault="003C79C3">
      <w:r>
        <w:separator/>
      </w:r>
    </w:p>
  </w:footnote>
  <w:footnote w:type="continuationSeparator" w:id="0">
    <w:p w:rsidR="003C79C3" w:rsidRDefault="003C7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CA2" w:rsidRPr="00B554BF" w:rsidRDefault="00326C97">
    <w:pPr>
      <w:pStyle w:val="Header"/>
      <w:rPr>
        <w:rFonts w:ascii="Bookman Old Style" w:hAnsi="Bookman Old Style"/>
      </w:rPr>
    </w:pPr>
    <w:r>
      <w:rPr>
        <w:rFonts w:ascii="Bookman Old Style" w:hAnsi="Bookman Old Style"/>
      </w:rPr>
      <w:t>Docket #</w:t>
    </w:r>
    <w:r w:rsidR="005F1D92">
      <w:rPr>
        <w:rFonts w:ascii="Bookman Old Style" w:hAnsi="Bookman Old Style"/>
      </w:rPr>
      <w:t xml:space="preserve"> </w:t>
    </w:r>
    <w:r w:rsidR="00B81577">
      <w:rPr>
        <w:rFonts w:ascii="Bookman Old Style" w:hAnsi="Bookman Old Style"/>
      </w:rPr>
      <w:t>19 1136</w:t>
    </w:r>
  </w:p>
  <w:p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571C4E">
      <w:rPr>
        <w:rStyle w:val="PageNumber"/>
        <w:rFonts w:ascii="Bookman Old Style" w:hAnsi="Bookman Old Style"/>
        <w:noProof/>
      </w:rPr>
      <w:t>2</w:t>
    </w:r>
    <w:r w:rsidRPr="00B554BF">
      <w:rPr>
        <w:rStyle w:val="PageNumber"/>
        <w:rFonts w:ascii="Bookman Old Style" w:hAnsi="Bookman Old Style"/>
      </w:rPr>
      <w:fldChar w:fldCharType="end"/>
    </w:r>
  </w:p>
  <w:p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C3"/>
    <w:rsid w:val="00003DC3"/>
    <w:rsid w:val="00026FBD"/>
    <w:rsid w:val="00027F9D"/>
    <w:rsid w:val="00086907"/>
    <w:rsid w:val="000D3217"/>
    <w:rsid w:val="000D3B41"/>
    <w:rsid w:val="000D73C2"/>
    <w:rsid w:val="000F5712"/>
    <w:rsid w:val="00145E88"/>
    <w:rsid w:val="00193EB9"/>
    <w:rsid w:val="001B73F6"/>
    <w:rsid w:val="002529B9"/>
    <w:rsid w:val="002A3C37"/>
    <w:rsid w:val="002C42D3"/>
    <w:rsid w:val="002D5A94"/>
    <w:rsid w:val="0031012B"/>
    <w:rsid w:val="003115E0"/>
    <w:rsid w:val="00326C97"/>
    <w:rsid w:val="003311C5"/>
    <w:rsid w:val="00382877"/>
    <w:rsid w:val="003A5235"/>
    <w:rsid w:val="003B709B"/>
    <w:rsid w:val="003C0ED2"/>
    <w:rsid w:val="003C79C3"/>
    <w:rsid w:val="003E7E91"/>
    <w:rsid w:val="00405A16"/>
    <w:rsid w:val="00441439"/>
    <w:rsid w:val="00456806"/>
    <w:rsid w:val="004758FD"/>
    <w:rsid w:val="004B0A1E"/>
    <w:rsid w:val="00571C4E"/>
    <w:rsid w:val="005A281D"/>
    <w:rsid w:val="005A4355"/>
    <w:rsid w:val="005F1D92"/>
    <w:rsid w:val="00661D7B"/>
    <w:rsid w:val="006A3089"/>
    <w:rsid w:val="00765551"/>
    <w:rsid w:val="00774034"/>
    <w:rsid w:val="007C0440"/>
    <w:rsid w:val="0080245E"/>
    <w:rsid w:val="008B1CA2"/>
    <w:rsid w:val="008B45DB"/>
    <w:rsid w:val="008F3C72"/>
    <w:rsid w:val="00932DE9"/>
    <w:rsid w:val="009639E3"/>
    <w:rsid w:val="009A7EB9"/>
    <w:rsid w:val="009C3416"/>
    <w:rsid w:val="00A51932"/>
    <w:rsid w:val="00A66D6A"/>
    <w:rsid w:val="00AA0015"/>
    <w:rsid w:val="00AD5C90"/>
    <w:rsid w:val="00B23E70"/>
    <w:rsid w:val="00B24371"/>
    <w:rsid w:val="00B554BF"/>
    <w:rsid w:val="00B81577"/>
    <w:rsid w:val="00B85F9D"/>
    <w:rsid w:val="00C3767D"/>
    <w:rsid w:val="00C47467"/>
    <w:rsid w:val="00C734D5"/>
    <w:rsid w:val="00C81FB9"/>
    <w:rsid w:val="00D025D4"/>
    <w:rsid w:val="00D829CE"/>
    <w:rsid w:val="00D82DF6"/>
    <w:rsid w:val="00DD54FF"/>
    <w:rsid w:val="00DF1DE2"/>
    <w:rsid w:val="00E20AA8"/>
    <w:rsid w:val="00E7258D"/>
    <w:rsid w:val="00EB0E9D"/>
    <w:rsid w:val="00EB2462"/>
    <w:rsid w:val="00EC3E1C"/>
    <w:rsid w:val="00F2294D"/>
    <w:rsid w:val="00F80BA0"/>
    <w:rsid w:val="00FA6CE0"/>
    <w:rsid w:val="00FD077C"/>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0DBFC"/>
  <w15:chartTrackingRefBased/>
  <w15:docId w15:val="{156863BD-1853-4001-BEE5-AA7E79DB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alloonText">
    <w:name w:val="Balloon Text"/>
    <w:basedOn w:val="Normal"/>
    <w:link w:val="BalloonTextChar"/>
    <w:uiPriority w:val="99"/>
    <w:semiHidden/>
    <w:unhideWhenUsed/>
    <w:rsid w:val="005F1D92"/>
    <w:rPr>
      <w:rFonts w:ascii="Tahoma" w:hAnsi="Tahoma" w:cs="Tahoma"/>
      <w:sz w:val="16"/>
      <w:szCs w:val="16"/>
    </w:rPr>
  </w:style>
  <w:style w:type="character" w:customStyle="1" w:styleId="BalloonTextChar">
    <w:name w:val="Balloon Text Char"/>
    <w:link w:val="BalloonText"/>
    <w:uiPriority w:val="99"/>
    <w:semiHidden/>
    <w:rsid w:val="005F1D92"/>
    <w:rPr>
      <w:rFonts w:ascii="Tahoma" w:hAnsi="Tahoma" w:cs="Tahoma"/>
      <w:snapToGrid w:val="0"/>
      <w:sz w:val="16"/>
      <w:szCs w:val="16"/>
    </w:rPr>
  </w:style>
  <w:style w:type="paragraph" w:customStyle="1" w:styleId="Default">
    <w:name w:val="Default"/>
    <w:rsid w:val="006A308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0%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D972F0-B73F-4CC9-801A-D4D4F5BD4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VL</Template>
  <TotalTime>0</TotalTime>
  <Pages>4</Pages>
  <Words>1159</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2015-02-06T00:26:00Z</cp:lastPrinted>
  <dcterms:created xsi:type="dcterms:W3CDTF">2019-12-17T01:19:00Z</dcterms:created>
  <dcterms:modified xsi:type="dcterms:W3CDTF">2019-12-17T01:19:00Z</dcterms:modified>
</cp:coreProperties>
</file>