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6526" w:rsidRDefault="00F47E03" w:rsidP="005E6526">
      <w:pPr>
        <w:widowControl/>
        <w:tabs>
          <w:tab w:val="center" w:pos="4680"/>
        </w:tabs>
        <w:suppressAutoHyphens/>
        <w:jc w:val="center"/>
        <w:rPr>
          <w:rFonts w:ascii="Bookman Old Style" w:hAnsi="Bookman Old Style"/>
          <w:b/>
        </w:rPr>
      </w:pPr>
      <w:r>
        <w:rPr>
          <w:rFonts w:ascii="Bookman Old Style" w:hAnsi="Bookman Old Style"/>
          <w:b/>
          <w:noProof/>
          <w:snapToGr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47.45pt;margin-top:-35.25pt;width:586.9pt;height:137.8pt;z-index:-251658752">
            <v:imagedata r:id="rId7" o:title="Appeals_Letterhead_Banner"/>
          </v:shape>
        </w:pict>
      </w:r>
    </w:p>
    <w:p w:rsidR="005E6526" w:rsidRDefault="005E6526" w:rsidP="005E6526">
      <w:pPr>
        <w:pStyle w:val="Heading3"/>
        <w:widowControl/>
        <w:tabs>
          <w:tab w:val="center" w:pos="4680"/>
        </w:tabs>
        <w:suppressAutoHyphens/>
        <w:rPr>
          <w:rFonts w:ascii="Bookman Old Style" w:hAnsi="Bookman Old Style"/>
        </w:rPr>
      </w:pPr>
    </w:p>
    <w:p w:rsidR="005E6526" w:rsidRDefault="005E6526" w:rsidP="005E6526">
      <w:pPr>
        <w:pStyle w:val="Heading3"/>
        <w:widowControl/>
        <w:tabs>
          <w:tab w:val="center" w:pos="4680"/>
        </w:tabs>
        <w:suppressAutoHyphens/>
        <w:rPr>
          <w:rFonts w:ascii="Bookman Old Style" w:hAnsi="Bookman Old Style"/>
        </w:rPr>
      </w:pPr>
    </w:p>
    <w:p w:rsidR="005E6526" w:rsidRDefault="005E6526" w:rsidP="005E6526">
      <w:pPr>
        <w:pStyle w:val="Heading3"/>
        <w:widowControl/>
        <w:tabs>
          <w:tab w:val="center" w:pos="4680"/>
        </w:tabs>
        <w:suppressAutoHyphens/>
        <w:rPr>
          <w:rFonts w:ascii="Bookman Old Style" w:hAnsi="Bookman Old Style"/>
        </w:rPr>
      </w:pPr>
    </w:p>
    <w:p w:rsidR="005E6526" w:rsidRDefault="005E6526" w:rsidP="005E6526">
      <w:pPr>
        <w:pStyle w:val="Heading3"/>
        <w:widowControl/>
        <w:tabs>
          <w:tab w:val="center" w:pos="4680"/>
        </w:tabs>
        <w:suppressAutoHyphens/>
        <w:rPr>
          <w:rFonts w:ascii="Bookman Old Style" w:hAnsi="Bookman Old Style"/>
        </w:rPr>
      </w:pPr>
    </w:p>
    <w:p w:rsidR="005E6526" w:rsidRDefault="005E6526" w:rsidP="005E6526">
      <w:pPr>
        <w:widowControl/>
        <w:tabs>
          <w:tab w:val="left" w:pos="-720"/>
        </w:tabs>
        <w:suppressAutoHyphens/>
        <w:rPr>
          <w:rFonts w:ascii="Bookman Old Style" w:hAnsi="Bookman Old Style"/>
        </w:rPr>
      </w:pPr>
    </w:p>
    <w:p w:rsidR="005A281D" w:rsidRPr="003B2AE9" w:rsidRDefault="005A281D" w:rsidP="003B2AE9">
      <w:pPr>
        <w:pStyle w:val="Heading3"/>
        <w:widowControl/>
        <w:tabs>
          <w:tab w:val="center" w:pos="4680"/>
        </w:tabs>
        <w:suppressAutoHyphens/>
        <w:rPr>
          <w:rFonts w:ascii="Bookman Old Style" w:hAnsi="Bookman Old Style"/>
          <w:szCs w:val="24"/>
        </w:rPr>
      </w:pPr>
      <w:r w:rsidRPr="003B2AE9">
        <w:rPr>
          <w:rFonts w:ascii="Bookman Old Style" w:hAnsi="Bookman Old Style"/>
          <w:szCs w:val="24"/>
        </w:rPr>
        <w:t>APPEAL TRIBUNAL DECISION</w:t>
      </w:r>
    </w:p>
    <w:p w:rsidR="005A281D" w:rsidRPr="003B2AE9" w:rsidRDefault="005A281D" w:rsidP="003B2AE9">
      <w:pPr>
        <w:widowControl/>
        <w:tabs>
          <w:tab w:val="left" w:pos="-720"/>
        </w:tabs>
        <w:suppressAutoHyphens/>
        <w:rPr>
          <w:rFonts w:ascii="Bookman Old Style" w:hAnsi="Bookman Old Style"/>
          <w:szCs w:val="24"/>
        </w:rPr>
      </w:pPr>
    </w:p>
    <w:p w:rsidR="005A281D" w:rsidRPr="003B2AE9" w:rsidRDefault="005A281D" w:rsidP="003B2AE9">
      <w:pPr>
        <w:widowControl/>
        <w:tabs>
          <w:tab w:val="center" w:pos="4680"/>
        </w:tabs>
        <w:suppressAutoHyphens/>
        <w:jc w:val="center"/>
        <w:outlineLvl w:val="0"/>
        <w:rPr>
          <w:rFonts w:ascii="Bookman Old Style" w:hAnsi="Bookman Old Style"/>
          <w:szCs w:val="24"/>
        </w:rPr>
      </w:pPr>
      <w:r w:rsidRPr="003B2AE9">
        <w:rPr>
          <w:rFonts w:ascii="Bookman Old Style" w:hAnsi="Bookman Old Style"/>
          <w:b/>
          <w:szCs w:val="24"/>
        </w:rPr>
        <w:t xml:space="preserve">Docket </w:t>
      </w:r>
      <w:r w:rsidR="00AA1DFF" w:rsidRPr="003B2AE9">
        <w:rPr>
          <w:rFonts w:ascii="Bookman Old Style" w:hAnsi="Bookman Old Style"/>
          <w:b/>
          <w:szCs w:val="24"/>
        </w:rPr>
        <w:t>number:</w:t>
      </w:r>
      <w:r w:rsidRPr="003B2AE9">
        <w:rPr>
          <w:rFonts w:ascii="Bookman Old Style" w:hAnsi="Bookman Old Style"/>
          <w:szCs w:val="24"/>
        </w:rPr>
        <w:t xml:space="preserve"> </w:t>
      </w:r>
      <w:r w:rsidR="00EF3E21">
        <w:rPr>
          <w:rFonts w:ascii="Bookman Old Style" w:hAnsi="Bookman Old Style"/>
          <w:szCs w:val="24"/>
        </w:rPr>
        <w:t>20 1796</w:t>
      </w:r>
      <w:r w:rsidRPr="003B2AE9">
        <w:rPr>
          <w:rFonts w:ascii="Bookman Old Style" w:hAnsi="Bookman Old Style"/>
          <w:szCs w:val="24"/>
        </w:rPr>
        <w:t xml:space="preserve">  </w:t>
      </w:r>
      <w:r w:rsidR="00AA1DFF" w:rsidRPr="003B2AE9">
        <w:rPr>
          <w:rFonts w:ascii="Bookman Old Style" w:hAnsi="Bookman Old Style"/>
          <w:b/>
          <w:szCs w:val="24"/>
        </w:rPr>
        <w:t>Hearing d</w:t>
      </w:r>
      <w:r w:rsidRPr="003B2AE9">
        <w:rPr>
          <w:rFonts w:ascii="Bookman Old Style" w:hAnsi="Bookman Old Style"/>
          <w:b/>
          <w:szCs w:val="24"/>
        </w:rPr>
        <w:t>ate:</w:t>
      </w:r>
      <w:r w:rsidRPr="003B2AE9">
        <w:rPr>
          <w:rFonts w:ascii="Bookman Old Style" w:hAnsi="Bookman Old Style"/>
          <w:szCs w:val="24"/>
        </w:rPr>
        <w:t xml:space="preserve"> </w:t>
      </w:r>
      <w:r w:rsidR="00EF3E21">
        <w:rPr>
          <w:rFonts w:ascii="Bookman Old Style" w:hAnsi="Bookman Old Style"/>
          <w:szCs w:val="24"/>
        </w:rPr>
        <w:t>December 7, 2020</w:t>
      </w:r>
    </w:p>
    <w:p w:rsidR="005A281D" w:rsidRPr="003B2AE9" w:rsidRDefault="005A281D" w:rsidP="003B2AE9">
      <w:pPr>
        <w:widowControl/>
        <w:tabs>
          <w:tab w:val="left" w:pos="-1440"/>
          <w:tab w:val="left" w:pos="-720"/>
          <w:tab w:val="left" w:pos="0"/>
          <w:tab w:val="left" w:pos="5760"/>
        </w:tabs>
        <w:suppressAutoHyphens/>
        <w:ind w:right="-360"/>
        <w:rPr>
          <w:rFonts w:ascii="Bookman Old Style" w:hAnsi="Bookman Old Style"/>
          <w:szCs w:val="24"/>
        </w:rPr>
      </w:pPr>
    </w:p>
    <w:p w:rsidR="005A281D" w:rsidRPr="003B2AE9" w:rsidRDefault="005A281D" w:rsidP="003B2AE9">
      <w:pPr>
        <w:widowControl/>
        <w:tabs>
          <w:tab w:val="left" w:pos="-1440"/>
          <w:tab w:val="left" w:pos="-720"/>
          <w:tab w:val="left" w:pos="0"/>
          <w:tab w:val="left" w:pos="5760"/>
        </w:tabs>
        <w:suppressAutoHyphens/>
        <w:ind w:right="-360"/>
        <w:outlineLvl w:val="0"/>
        <w:rPr>
          <w:rFonts w:ascii="Bookman Old Style" w:hAnsi="Bookman Old Style"/>
          <w:szCs w:val="24"/>
        </w:rPr>
      </w:pPr>
      <w:r w:rsidRPr="003B2AE9">
        <w:rPr>
          <w:rFonts w:ascii="Bookman Old Style" w:hAnsi="Bookman Old Style"/>
          <w:b/>
          <w:szCs w:val="24"/>
        </w:rPr>
        <w:t>CLAIMANT:</w:t>
      </w:r>
    </w:p>
    <w:p w:rsidR="005A281D" w:rsidRPr="003B2AE9" w:rsidRDefault="005A281D" w:rsidP="003B2AE9">
      <w:pPr>
        <w:widowControl/>
        <w:tabs>
          <w:tab w:val="left" w:pos="-1440"/>
          <w:tab w:val="left" w:pos="-720"/>
          <w:tab w:val="left" w:pos="0"/>
          <w:tab w:val="left" w:pos="5760"/>
        </w:tabs>
        <w:suppressAutoHyphens/>
        <w:ind w:right="-360"/>
        <w:rPr>
          <w:rFonts w:ascii="Bookman Old Style" w:hAnsi="Bookman Old Style"/>
          <w:szCs w:val="24"/>
        </w:rPr>
      </w:pPr>
    </w:p>
    <w:p w:rsidR="00EF3E21" w:rsidRPr="00EF3E21" w:rsidRDefault="00EF3E21" w:rsidP="00EF3E21">
      <w:pPr>
        <w:widowControl/>
        <w:tabs>
          <w:tab w:val="left" w:pos="-1440"/>
          <w:tab w:val="left" w:pos="-720"/>
          <w:tab w:val="left" w:pos="0"/>
          <w:tab w:val="left" w:pos="5760"/>
        </w:tabs>
        <w:suppressAutoHyphens/>
        <w:ind w:right="-360"/>
        <w:rPr>
          <w:rFonts w:ascii="Bookman Old Style" w:hAnsi="Bookman Old Style"/>
          <w:szCs w:val="24"/>
        </w:rPr>
      </w:pPr>
      <w:r w:rsidRPr="00EF3E21">
        <w:rPr>
          <w:rFonts w:ascii="Bookman Old Style" w:hAnsi="Bookman Old Style"/>
          <w:szCs w:val="24"/>
        </w:rPr>
        <w:t>PATRICK CAMPBELL</w:t>
      </w:r>
    </w:p>
    <w:p w:rsidR="005A281D" w:rsidRDefault="005A281D" w:rsidP="003B2AE9">
      <w:pPr>
        <w:widowControl/>
        <w:tabs>
          <w:tab w:val="left" w:pos="-1440"/>
          <w:tab w:val="left" w:pos="-720"/>
          <w:tab w:val="left" w:pos="0"/>
          <w:tab w:val="left" w:pos="5760"/>
        </w:tabs>
        <w:suppressAutoHyphens/>
        <w:ind w:right="-360"/>
        <w:rPr>
          <w:rFonts w:ascii="Bookman Old Style" w:hAnsi="Bookman Old Style"/>
          <w:szCs w:val="24"/>
        </w:rPr>
      </w:pPr>
    </w:p>
    <w:p w:rsidR="00F47E03" w:rsidRDefault="00F47E03" w:rsidP="003B2AE9">
      <w:pPr>
        <w:widowControl/>
        <w:tabs>
          <w:tab w:val="left" w:pos="-1440"/>
          <w:tab w:val="left" w:pos="-720"/>
          <w:tab w:val="left" w:pos="0"/>
          <w:tab w:val="left" w:pos="5760"/>
        </w:tabs>
        <w:suppressAutoHyphens/>
        <w:ind w:right="-360"/>
        <w:rPr>
          <w:rFonts w:ascii="Bookman Old Style" w:hAnsi="Bookman Old Style"/>
          <w:szCs w:val="24"/>
        </w:rPr>
      </w:pPr>
    </w:p>
    <w:p w:rsidR="00F47E03" w:rsidRPr="003B2AE9" w:rsidRDefault="00F47E03" w:rsidP="003B2AE9">
      <w:pPr>
        <w:widowControl/>
        <w:tabs>
          <w:tab w:val="left" w:pos="-1440"/>
          <w:tab w:val="left" w:pos="-720"/>
          <w:tab w:val="left" w:pos="0"/>
          <w:tab w:val="left" w:pos="5760"/>
        </w:tabs>
        <w:suppressAutoHyphens/>
        <w:ind w:right="-360"/>
        <w:rPr>
          <w:rFonts w:ascii="Bookman Old Style" w:hAnsi="Bookman Old Style"/>
          <w:szCs w:val="24"/>
        </w:rPr>
      </w:pPr>
      <w:bookmarkStart w:id="0" w:name="_GoBack"/>
      <w:bookmarkEnd w:id="0"/>
    </w:p>
    <w:p w:rsidR="005A281D" w:rsidRPr="003B2AE9" w:rsidRDefault="005A281D" w:rsidP="003B2AE9">
      <w:pPr>
        <w:widowControl/>
        <w:tabs>
          <w:tab w:val="left" w:pos="-1440"/>
          <w:tab w:val="left" w:pos="-720"/>
          <w:tab w:val="left" w:pos="0"/>
          <w:tab w:val="left" w:pos="5760"/>
        </w:tabs>
        <w:suppressAutoHyphens/>
        <w:ind w:right="-360"/>
        <w:rPr>
          <w:rFonts w:ascii="Bookman Old Style" w:hAnsi="Bookman Old Style"/>
          <w:szCs w:val="24"/>
        </w:rPr>
      </w:pPr>
      <w:r w:rsidRPr="003B2AE9">
        <w:rPr>
          <w:rFonts w:ascii="Bookman Old Style" w:hAnsi="Bookman Old Style"/>
          <w:b/>
          <w:szCs w:val="24"/>
        </w:rPr>
        <w:t>CLAIMANT APPEARANCES:</w:t>
      </w:r>
      <w:r w:rsidRPr="003B2AE9">
        <w:rPr>
          <w:rFonts w:ascii="Bookman Old Style" w:hAnsi="Bookman Old Style"/>
          <w:b/>
          <w:szCs w:val="24"/>
        </w:rPr>
        <w:tab/>
      </w:r>
      <w:r w:rsidR="00AA1DFF" w:rsidRPr="003B2AE9">
        <w:rPr>
          <w:rFonts w:ascii="Bookman Old Style" w:hAnsi="Bookman Old Style"/>
          <w:b/>
          <w:szCs w:val="24"/>
        </w:rPr>
        <w:t>DETS</w:t>
      </w:r>
      <w:r w:rsidRPr="003B2AE9">
        <w:rPr>
          <w:rFonts w:ascii="Bookman Old Style" w:hAnsi="Bookman Old Style"/>
          <w:b/>
          <w:szCs w:val="24"/>
        </w:rPr>
        <w:t xml:space="preserve"> APPEARANCES:</w:t>
      </w:r>
    </w:p>
    <w:p w:rsidR="005A281D" w:rsidRPr="003B2AE9" w:rsidRDefault="005A281D" w:rsidP="003B2AE9">
      <w:pPr>
        <w:widowControl/>
        <w:tabs>
          <w:tab w:val="left" w:pos="-1440"/>
          <w:tab w:val="left" w:pos="-720"/>
          <w:tab w:val="left" w:pos="0"/>
          <w:tab w:val="left" w:pos="5760"/>
        </w:tabs>
        <w:suppressAutoHyphens/>
        <w:ind w:right="-360"/>
        <w:rPr>
          <w:rFonts w:ascii="Bookman Old Style" w:hAnsi="Bookman Old Style"/>
          <w:szCs w:val="24"/>
        </w:rPr>
      </w:pPr>
    </w:p>
    <w:p w:rsidR="005A281D" w:rsidRPr="003B2AE9" w:rsidRDefault="00EF3E21" w:rsidP="003B2AE9">
      <w:pPr>
        <w:widowControl/>
        <w:tabs>
          <w:tab w:val="left" w:pos="-1440"/>
          <w:tab w:val="left" w:pos="-720"/>
          <w:tab w:val="left" w:pos="0"/>
          <w:tab w:val="left" w:pos="5760"/>
        </w:tabs>
        <w:suppressAutoHyphens/>
        <w:ind w:right="-360"/>
        <w:rPr>
          <w:rFonts w:ascii="Bookman Old Style" w:hAnsi="Bookman Old Style"/>
          <w:szCs w:val="24"/>
        </w:rPr>
      </w:pPr>
      <w:r>
        <w:rPr>
          <w:rFonts w:ascii="Bookman Old Style" w:hAnsi="Bookman Old Style"/>
          <w:szCs w:val="24"/>
        </w:rPr>
        <w:t>Patrick Campbell</w:t>
      </w:r>
      <w:r w:rsidR="005A281D" w:rsidRPr="003B2AE9">
        <w:rPr>
          <w:rFonts w:ascii="Bookman Old Style" w:hAnsi="Bookman Old Style"/>
          <w:szCs w:val="24"/>
        </w:rPr>
        <w:tab/>
        <w:t>None</w:t>
      </w:r>
    </w:p>
    <w:p w:rsidR="005A281D" w:rsidRPr="003B2AE9" w:rsidRDefault="005A281D" w:rsidP="003B2AE9">
      <w:pPr>
        <w:widowControl/>
        <w:tabs>
          <w:tab w:val="left" w:pos="-1440"/>
          <w:tab w:val="left" w:pos="-720"/>
          <w:tab w:val="left" w:pos="0"/>
          <w:tab w:val="left" w:pos="5760"/>
        </w:tabs>
        <w:suppressAutoHyphens/>
        <w:ind w:right="-360"/>
        <w:rPr>
          <w:rFonts w:ascii="Bookman Old Style" w:hAnsi="Bookman Old Style"/>
          <w:szCs w:val="24"/>
        </w:rPr>
      </w:pPr>
    </w:p>
    <w:p w:rsidR="005A281D" w:rsidRPr="003B2AE9" w:rsidRDefault="005A281D" w:rsidP="003B2AE9">
      <w:pPr>
        <w:pStyle w:val="Heading4"/>
        <w:jc w:val="center"/>
        <w:rPr>
          <w:rFonts w:ascii="Bookman Old Style" w:hAnsi="Bookman Old Style"/>
          <w:szCs w:val="24"/>
        </w:rPr>
      </w:pPr>
      <w:r w:rsidRPr="003B2AE9">
        <w:rPr>
          <w:rFonts w:ascii="Bookman Old Style" w:hAnsi="Bookman Old Style"/>
          <w:szCs w:val="24"/>
        </w:rPr>
        <w:t>CASE HISTORY</w:t>
      </w:r>
    </w:p>
    <w:p w:rsidR="005A281D" w:rsidRPr="003B2AE9" w:rsidRDefault="005A281D" w:rsidP="003B2AE9">
      <w:pPr>
        <w:tabs>
          <w:tab w:val="left" w:pos="-1440"/>
          <w:tab w:val="left" w:pos="-720"/>
        </w:tabs>
        <w:rPr>
          <w:rFonts w:ascii="Bookman Old Style" w:hAnsi="Bookman Old Style"/>
          <w:szCs w:val="24"/>
        </w:rPr>
      </w:pPr>
    </w:p>
    <w:p w:rsidR="00A51C81" w:rsidRPr="003B2AE9" w:rsidRDefault="00A51C81" w:rsidP="003B2AE9">
      <w:pPr>
        <w:rPr>
          <w:rFonts w:ascii="Bookman Old Style" w:hAnsi="Bookman Old Style"/>
          <w:szCs w:val="24"/>
        </w:rPr>
      </w:pPr>
      <w:r w:rsidRPr="003B2AE9">
        <w:rPr>
          <w:rFonts w:ascii="Bookman Old Style" w:hAnsi="Bookman Old Style"/>
          <w:szCs w:val="24"/>
        </w:rPr>
        <w:t xml:space="preserve">The claimant timely appealed a </w:t>
      </w:r>
      <w:r w:rsidR="00EF3E21">
        <w:rPr>
          <w:rFonts w:ascii="Bookman Old Style" w:hAnsi="Bookman Old Style"/>
          <w:szCs w:val="24"/>
        </w:rPr>
        <w:t>September 24, 2020</w:t>
      </w:r>
      <w:r w:rsidRPr="003B2AE9">
        <w:rPr>
          <w:rFonts w:ascii="Bookman Old Style" w:hAnsi="Bookman Old Style"/>
          <w:szCs w:val="24"/>
        </w:rPr>
        <w:t xml:space="preserve"> determination which denied benefits under AS 23.20.375. The issue before the Appeal Tribunal is whether the claimant met the filing requirements.</w:t>
      </w:r>
    </w:p>
    <w:p w:rsidR="005A281D" w:rsidRPr="003B2AE9" w:rsidRDefault="005A281D" w:rsidP="003B2AE9">
      <w:pPr>
        <w:tabs>
          <w:tab w:val="left" w:pos="-1440"/>
          <w:tab w:val="left" w:pos="-720"/>
        </w:tabs>
        <w:rPr>
          <w:rFonts w:ascii="Bookman Old Style" w:hAnsi="Bookman Old Style"/>
          <w:szCs w:val="24"/>
        </w:rPr>
      </w:pPr>
    </w:p>
    <w:p w:rsidR="005A281D" w:rsidRPr="003B2AE9" w:rsidRDefault="005A281D" w:rsidP="003B2AE9">
      <w:pPr>
        <w:pStyle w:val="Heading4"/>
        <w:jc w:val="center"/>
        <w:rPr>
          <w:rFonts w:ascii="Bookman Old Style" w:hAnsi="Bookman Old Style"/>
          <w:szCs w:val="24"/>
        </w:rPr>
      </w:pPr>
      <w:r w:rsidRPr="003B2AE9">
        <w:rPr>
          <w:rFonts w:ascii="Bookman Old Style" w:hAnsi="Bookman Old Style"/>
          <w:szCs w:val="24"/>
        </w:rPr>
        <w:t>FINDINGS OF FACT</w:t>
      </w:r>
    </w:p>
    <w:p w:rsidR="005A281D" w:rsidRPr="003B2AE9" w:rsidRDefault="005A281D" w:rsidP="003B2AE9">
      <w:pPr>
        <w:tabs>
          <w:tab w:val="left" w:pos="-1440"/>
          <w:tab w:val="left" w:pos="-720"/>
        </w:tabs>
        <w:rPr>
          <w:rFonts w:ascii="Bookman Old Style" w:hAnsi="Bookman Old Style"/>
          <w:szCs w:val="24"/>
        </w:rPr>
      </w:pPr>
    </w:p>
    <w:p w:rsidR="005A281D" w:rsidRDefault="00A51C81" w:rsidP="003B2AE9">
      <w:pPr>
        <w:tabs>
          <w:tab w:val="left" w:pos="-1440"/>
          <w:tab w:val="left" w:pos="-720"/>
        </w:tabs>
        <w:rPr>
          <w:rFonts w:ascii="Bookman Old Style" w:hAnsi="Bookman Old Style"/>
          <w:szCs w:val="24"/>
        </w:rPr>
      </w:pPr>
      <w:r w:rsidRPr="003B2AE9">
        <w:rPr>
          <w:rFonts w:ascii="Bookman Old Style" w:hAnsi="Bookman Old Style"/>
          <w:szCs w:val="24"/>
        </w:rPr>
        <w:t>The claimant</w:t>
      </w:r>
      <w:r w:rsidR="00EF3E21">
        <w:rPr>
          <w:rFonts w:ascii="Bookman Old Style" w:hAnsi="Bookman Old Style"/>
          <w:szCs w:val="24"/>
        </w:rPr>
        <w:t xml:space="preserve"> was laid off on March 22, 2020 when his employer closed due to effects of the COVID-19 pandemic.  The claimant’s employer directed him to contact Nevada’s unemployment office and apply for benefits.  That week, the claimant </w:t>
      </w:r>
      <w:r w:rsidR="00285DE5">
        <w:rPr>
          <w:rFonts w:ascii="Bookman Old Style" w:hAnsi="Bookman Old Style"/>
          <w:szCs w:val="24"/>
        </w:rPr>
        <w:t>c</w:t>
      </w:r>
      <w:r w:rsidR="00EF3E21">
        <w:rPr>
          <w:rFonts w:ascii="Bookman Old Style" w:hAnsi="Bookman Old Style"/>
          <w:szCs w:val="24"/>
        </w:rPr>
        <w:t>ontacted the Nevada unemployment office and established a claim for Pandemic Unemployment Assistance (PUA) benefits effective                 March 22, 2020.</w:t>
      </w:r>
    </w:p>
    <w:p w:rsidR="00EF3E21" w:rsidRDefault="00EF3E21" w:rsidP="003B2AE9">
      <w:pPr>
        <w:tabs>
          <w:tab w:val="left" w:pos="-1440"/>
          <w:tab w:val="left" w:pos="-720"/>
        </w:tabs>
        <w:rPr>
          <w:rFonts w:ascii="Bookman Old Style" w:hAnsi="Bookman Old Style"/>
          <w:szCs w:val="24"/>
        </w:rPr>
      </w:pPr>
    </w:p>
    <w:p w:rsidR="00EF3E21" w:rsidRDefault="00EF3E21" w:rsidP="003B2AE9">
      <w:pPr>
        <w:tabs>
          <w:tab w:val="left" w:pos="-1440"/>
          <w:tab w:val="left" w:pos="-720"/>
        </w:tabs>
        <w:rPr>
          <w:rFonts w:ascii="Bookman Old Style" w:hAnsi="Bookman Old Style"/>
          <w:szCs w:val="24"/>
        </w:rPr>
      </w:pPr>
      <w:r>
        <w:rPr>
          <w:rFonts w:ascii="Bookman Old Style" w:hAnsi="Bookman Old Style"/>
          <w:szCs w:val="24"/>
        </w:rPr>
        <w:t xml:space="preserve">The claimant filed weekly certifications to claim benefits </w:t>
      </w:r>
      <w:r w:rsidR="00285DE5">
        <w:rPr>
          <w:rFonts w:ascii="Bookman Old Style" w:hAnsi="Bookman Old Style"/>
          <w:szCs w:val="24"/>
        </w:rPr>
        <w:t>for one or</w:t>
      </w:r>
      <w:r>
        <w:rPr>
          <w:rFonts w:ascii="Bookman Old Style" w:hAnsi="Bookman Old Style"/>
          <w:szCs w:val="24"/>
        </w:rPr>
        <w:t xml:space="preserve"> two weeks, then the Nevada UI website would not allow him to file further certifications and advised him to contact the office by phone. The claimant contacted the Nevada unemployment office, and was referred to the PUA office. The PUA office referred the claimant back to the unemployment office.  Both offices were overwhelmed with phone calls and the claimant had great difficulty reaching a person or getting a callback from either office.  Finally, on </w:t>
      </w:r>
      <w:r w:rsidR="00285DE5">
        <w:rPr>
          <w:rFonts w:ascii="Bookman Old Style" w:hAnsi="Bookman Old Style"/>
          <w:szCs w:val="24"/>
        </w:rPr>
        <w:t xml:space="preserve">         </w:t>
      </w:r>
      <w:r>
        <w:rPr>
          <w:rFonts w:ascii="Bookman Old Style" w:hAnsi="Bookman Old Style"/>
          <w:szCs w:val="24"/>
        </w:rPr>
        <w:t>J</w:t>
      </w:r>
      <w:r w:rsidR="00EF2192">
        <w:rPr>
          <w:rFonts w:ascii="Bookman Old Style" w:hAnsi="Bookman Old Style"/>
          <w:szCs w:val="24"/>
        </w:rPr>
        <w:t>une 9, 2020, the claimant’s girlfriend reached a Nevada unemplo</w:t>
      </w:r>
      <w:r>
        <w:rPr>
          <w:rFonts w:ascii="Bookman Old Style" w:hAnsi="Bookman Old Style"/>
          <w:szCs w:val="24"/>
        </w:rPr>
        <w:t xml:space="preserve">yment representative </w:t>
      </w:r>
      <w:r w:rsidR="00EF2192">
        <w:rPr>
          <w:rFonts w:ascii="Bookman Old Style" w:hAnsi="Bookman Old Style"/>
          <w:szCs w:val="24"/>
        </w:rPr>
        <w:t>who told her that sh</w:t>
      </w:r>
      <w:r>
        <w:rPr>
          <w:rFonts w:ascii="Bookman Old Style" w:hAnsi="Bookman Old Style"/>
          <w:szCs w:val="24"/>
        </w:rPr>
        <w:t xml:space="preserve">e had an open claim for benefits in Alaska </w:t>
      </w:r>
      <w:r w:rsidR="00EF2192">
        <w:rPr>
          <w:rFonts w:ascii="Bookman Old Style" w:hAnsi="Bookman Old Style"/>
          <w:szCs w:val="24"/>
        </w:rPr>
        <w:t>and she was required to call Alaska unemployment and re-open that claim.  The claimant realized that might be his si</w:t>
      </w:r>
      <w:r w:rsidR="00285DE5">
        <w:rPr>
          <w:rFonts w:ascii="Bookman Old Style" w:hAnsi="Bookman Old Style"/>
          <w:szCs w:val="24"/>
        </w:rPr>
        <w:t>tuation as well, although he had been</w:t>
      </w:r>
      <w:r w:rsidR="00EF2192">
        <w:rPr>
          <w:rFonts w:ascii="Bookman Old Style" w:hAnsi="Bookman Old Style"/>
          <w:szCs w:val="24"/>
        </w:rPr>
        <w:t xml:space="preserve"> unaware he still had an active claim in Alaska.</w:t>
      </w:r>
    </w:p>
    <w:p w:rsidR="00EF2192" w:rsidRDefault="00EF2192" w:rsidP="003B2AE9">
      <w:pPr>
        <w:tabs>
          <w:tab w:val="left" w:pos="-1440"/>
          <w:tab w:val="left" w:pos="-720"/>
        </w:tabs>
        <w:rPr>
          <w:rFonts w:ascii="Bookman Old Style" w:hAnsi="Bookman Old Style"/>
          <w:szCs w:val="24"/>
        </w:rPr>
      </w:pPr>
    </w:p>
    <w:p w:rsidR="00EF2192" w:rsidRPr="003B2AE9" w:rsidRDefault="00EF2192" w:rsidP="003B2AE9">
      <w:pPr>
        <w:tabs>
          <w:tab w:val="left" w:pos="-1440"/>
          <w:tab w:val="left" w:pos="-720"/>
        </w:tabs>
        <w:rPr>
          <w:rFonts w:ascii="Bookman Old Style" w:hAnsi="Bookman Old Style"/>
          <w:szCs w:val="24"/>
        </w:rPr>
      </w:pPr>
      <w:r>
        <w:rPr>
          <w:rFonts w:ascii="Bookman Old Style" w:hAnsi="Bookman Old Style"/>
          <w:szCs w:val="24"/>
        </w:rPr>
        <w:lastRenderedPageBreak/>
        <w:t xml:space="preserve">The claimant called the Division on June 9, 2020 and his claim, which had been established in September 2019, was re-opened effective June 7, 2020. The claimant requested that his re-opened claim be back dated to </w:t>
      </w:r>
      <w:r w:rsidR="00285DE5">
        <w:rPr>
          <w:rFonts w:ascii="Bookman Old Style" w:hAnsi="Bookman Old Style"/>
          <w:szCs w:val="24"/>
        </w:rPr>
        <w:t xml:space="preserve">            </w:t>
      </w:r>
      <w:r>
        <w:rPr>
          <w:rFonts w:ascii="Bookman Old Style" w:hAnsi="Bookman Old Style"/>
          <w:szCs w:val="24"/>
        </w:rPr>
        <w:t xml:space="preserve">March 22, 2020 and </w:t>
      </w:r>
      <w:r w:rsidR="00285DE5">
        <w:rPr>
          <w:rFonts w:ascii="Bookman Old Style" w:hAnsi="Bookman Old Style"/>
          <w:szCs w:val="24"/>
        </w:rPr>
        <w:t xml:space="preserve">that </w:t>
      </w:r>
      <w:r>
        <w:rPr>
          <w:rFonts w:ascii="Bookman Old Style" w:hAnsi="Bookman Old Style"/>
          <w:szCs w:val="24"/>
        </w:rPr>
        <w:t>he be allowed to file for the weeks he had been attempting to claim through Nevada.  The claimant’s request was denied.</w:t>
      </w:r>
    </w:p>
    <w:p w:rsidR="005A281D" w:rsidRPr="003B2AE9" w:rsidRDefault="005A281D" w:rsidP="003B2AE9">
      <w:pPr>
        <w:tabs>
          <w:tab w:val="left" w:pos="-1440"/>
          <w:tab w:val="left" w:pos="-720"/>
        </w:tabs>
        <w:rPr>
          <w:rFonts w:ascii="Bookman Old Style" w:hAnsi="Bookman Old Style"/>
          <w:szCs w:val="24"/>
        </w:rPr>
      </w:pPr>
    </w:p>
    <w:p w:rsidR="005A281D" w:rsidRPr="003B2AE9" w:rsidRDefault="005A281D" w:rsidP="003B2AE9">
      <w:pPr>
        <w:pStyle w:val="Heading4"/>
        <w:jc w:val="center"/>
        <w:rPr>
          <w:rFonts w:ascii="Bookman Old Style" w:hAnsi="Bookman Old Style"/>
          <w:szCs w:val="24"/>
        </w:rPr>
      </w:pPr>
      <w:r w:rsidRPr="003B2AE9">
        <w:rPr>
          <w:rFonts w:ascii="Bookman Old Style" w:hAnsi="Bookman Old Style"/>
          <w:szCs w:val="24"/>
        </w:rPr>
        <w:t>PROVISIONS OF LAW</w:t>
      </w:r>
    </w:p>
    <w:p w:rsidR="005A281D" w:rsidRPr="003B2AE9" w:rsidRDefault="005A281D" w:rsidP="003B2AE9">
      <w:pPr>
        <w:tabs>
          <w:tab w:val="left" w:pos="-1440"/>
          <w:tab w:val="left" w:pos="-720"/>
        </w:tabs>
        <w:rPr>
          <w:rFonts w:ascii="Bookman Old Style" w:hAnsi="Bookman Old Style"/>
          <w:szCs w:val="24"/>
        </w:rPr>
      </w:pPr>
    </w:p>
    <w:p w:rsidR="00A51C81" w:rsidRPr="003B2AE9" w:rsidRDefault="00A51C81" w:rsidP="003B2AE9">
      <w:pPr>
        <w:pStyle w:val="NormalWeb"/>
        <w:rPr>
          <w:rFonts w:ascii="Bookman Old Style" w:hAnsi="Bookman Old Style"/>
          <w:b/>
        </w:rPr>
      </w:pPr>
      <w:r w:rsidRPr="003B2AE9">
        <w:rPr>
          <w:rFonts w:ascii="Bookman Old Style" w:hAnsi="Bookman Old Style"/>
          <w:b/>
        </w:rPr>
        <w:t>AS 23.20.375. Filing requirements</w:t>
      </w:r>
    </w:p>
    <w:p w:rsidR="00A51C81" w:rsidRPr="003B2AE9" w:rsidRDefault="00A51C81" w:rsidP="003B2AE9">
      <w:pPr>
        <w:pStyle w:val="NormalWeb"/>
        <w:rPr>
          <w:rFonts w:ascii="Bookman Old Style" w:hAnsi="Bookman Old Style"/>
        </w:rPr>
      </w:pPr>
      <w:r w:rsidRPr="003B2AE9">
        <w:rPr>
          <w:rFonts w:ascii="Bookman Old Style" w:hAnsi="Bookman Old Style"/>
        </w:rPr>
        <w:t>(a) An insured worker is entitled to receive waiting-week credit or benefits for a week of unemployment for which the insured worker has not been disqualified under, 23.20.362, 23.20.378 - 23.20.387, or 23.20.505 if, in accordance with regulations adopted by the department, the insured worker has</w:t>
      </w:r>
    </w:p>
    <w:p w:rsidR="00A51C81" w:rsidRPr="003B2AE9" w:rsidRDefault="00F47E03" w:rsidP="000B12C4">
      <w:pPr>
        <w:pStyle w:val="NormalWeb"/>
        <w:tabs>
          <w:tab w:val="left" w:pos="1170"/>
        </w:tabs>
        <w:spacing w:before="0" w:beforeAutospacing="0" w:after="0" w:afterAutospacing="0"/>
        <w:rPr>
          <w:rFonts w:ascii="Bookman Old Style" w:hAnsi="Bookman Old Style"/>
        </w:rPr>
      </w:pPr>
      <w:r>
        <w:rPr>
          <w:rFonts w:ascii="Bookman Old Style" w:hAnsi="Bookman Old Style"/>
          <w:noProof/>
        </w:rPr>
        <w:pict>
          <v:shape id="Picture 3" o:spid="_x0000_i1025" type="#_x0000_t75" alt="http://www.legis.state.ak.us/sdimages/tab.gif" style="width:22.5pt;height:.75pt;visibility:visible">
            <v:imagedata r:id="rId8" o:title="tab"/>
          </v:shape>
        </w:pict>
      </w:r>
      <w:r w:rsidR="00A51C81" w:rsidRPr="003B2AE9">
        <w:rPr>
          <w:rFonts w:ascii="Bookman Old Style" w:hAnsi="Bookman Old Style"/>
        </w:rPr>
        <w:t xml:space="preserve">(1) </w:t>
      </w:r>
      <w:r w:rsidR="00A51C81" w:rsidRPr="003B2AE9">
        <w:rPr>
          <w:rFonts w:ascii="Bookman Old Style" w:hAnsi="Bookman Old Style"/>
        </w:rPr>
        <w:tab/>
        <w:t>made an initial claim for benefits; and</w:t>
      </w:r>
    </w:p>
    <w:p w:rsidR="00A51C81" w:rsidRDefault="00F47E03" w:rsidP="000B12C4">
      <w:pPr>
        <w:pStyle w:val="NormalWeb"/>
        <w:tabs>
          <w:tab w:val="left" w:pos="1170"/>
        </w:tabs>
        <w:spacing w:before="0" w:beforeAutospacing="0" w:after="0" w:afterAutospacing="0"/>
        <w:ind w:left="1170" w:hanging="1170"/>
        <w:rPr>
          <w:rFonts w:ascii="Bookman Old Style" w:hAnsi="Bookman Old Style"/>
        </w:rPr>
      </w:pPr>
      <w:r>
        <w:rPr>
          <w:rFonts w:ascii="Bookman Old Style" w:hAnsi="Bookman Old Style"/>
        </w:rPr>
        <w:pict>
          <v:shape id="_x0000_i1026" type="#_x0000_t75" alt="http://www.legis.state.ak.us/sdimages/tab.gif" style="width:22.5pt;height:.75pt;visibility:visible">
            <v:imagedata r:id="rId8" o:title="tab"/>
          </v:shape>
        </w:pict>
      </w:r>
      <w:r w:rsidR="00A51C81" w:rsidRPr="003B2AE9">
        <w:rPr>
          <w:rFonts w:ascii="Bookman Old Style" w:hAnsi="Bookman Old Style"/>
        </w:rPr>
        <w:t xml:space="preserve">(2) </w:t>
      </w:r>
      <w:r w:rsidR="00A51C81" w:rsidRPr="003B2AE9">
        <w:rPr>
          <w:rFonts w:ascii="Bookman Old Style" w:hAnsi="Bookman Old Style"/>
        </w:rPr>
        <w:tab/>
        <w:t>for that week, certified for waiting-week credit or made a claim for benefits.</w:t>
      </w:r>
    </w:p>
    <w:p w:rsidR="000B12C4" w:rsidRPr="003B2AE9" w:rsidRDefault="000B12C4" w:rsidP="000B12C4">
      <w:pPr>
        <w:pStyle w:val="NormalWeb"/>
        <w:tabs>
          <w:tab w:val="left" w:pos="1170"/>
        </w:tabs>
        <w:spacing w:before="0" w:beforeAutospacing="0" w:after="0" w:afterAutospacing="0"/>
        <w:ind w:left="1170" w:hanging="1170"/>
        <w:rPr>
          <w:rFonts w:ascii="Bookman Old Style" w:hAnsi="Bookman Old Style"/>
        </w:rPr>
      </w:pPr>
    </w:p>
    <w:p w:rsidR="00A51C81" w:rsidRPr="003B2AE9" w:rsidRDefault="00A51C81" w:rsidP="003B2AE9">
      <w:pPr>
        <w:pStyle w:val="NormalWeb"/>
        <w:rPr>
          <w:rFonts w:ascii="Bookman Old Style" w:hAnsi="Bookman Old Style"/>
          <w:b/>
        </w:rPr>
      </w:pPr>
      <w:r w:rsidRPr="003B2AE9">
        <w:rPr>
          <w:rFonts w:ascii="Bookman Old Style" w:hAnsi="Bookman Old Style"/>
          <w:b/>
        </w:rPr>
        <w:t>8 AAC 85.100 Intrastate claim filing: initial claims</w:t>
      </w:r>
    </w:p>
    <w:p w:rsidR="00A51C81" w:rsidRPr="003B2AE9" w:rsidRDefault="00A51C81" w:rsidP="001E771F">
      <w:pPr>
        <w:pStyle w:val="NormalWeb"/>
        <w:tabs>
          <w:tab w:val="left" w:pos="1440"/>
        </w:tabs>
        <w:spacing w:before="0" w:beforeAutospacing="0" w:after="0" w:afterAutospacing="0"/>
        <w:ind w:left="360" w:hanging="360"/>
        <w:rPr>
          <w:rFonts w:ascii="Bookman Old Style" w:hAnsi="Bookman Old Style"/>
        </w:rPr>
      </w:pPr>
      <w:r w:rsidRPr="003B2AE9">
        <w:rPr>
          <w:rFonts w:ascii="Bookman Old Style" w:hAnsi="Bookman Old Style"/>
        </w:rPr>
        <w:t xml:space="preserve">(a) Intrastate initial claims, including new claims, transitional claims, additional claims, and reopened claims, as defined in this chapter, must be filed in accordance with the standards set out in this section. A claimant is not eligible for waiting week credit or benefits for any week before the week in which the initial claim is effective under this section. </w:t>
      </w:r>
    </w:p>
    <w:p w:rsidR="000B12C4" w:rsidRPr="003B2AE9" w:rsidRDefault="00A51C81" w:rsidP="001E771F">
      <w:pPr>
        <w:pStyle w:val="NormalWeb"/>
        <w:tabs>
          <w:tab w:val="left" w:pos="1440"/>
        </w:tabs>
        <w:spacing w:before="0" w:beforeAutospacing="0" w:after="0" w:afterAutospacing="0"/>
        <w:ind w:left="360" w:hanging="360"/>
        <w:rPr>
          <w:rFonts w:ascii="Bookman Old Style" w:hAnsi="Bookman Old Style"/>
        </w:rPr>
      </w:pPr>
      <w:r w:rsidRPr="003B2AE9">
        <w:rPr>
          <w:rFonts w:ascii="Bookman Old Style" w:hAnsi="Bookman Old Style"/>
        </w:rPr>
        <w:t xml:space="preserve">(b) A claimant shall file an initial claim with an unemployment insurance claim center of the division by </w:t>
      </w:r>
    </w:p>
    <w:p w:rsidR="00A51C81" w:rsidRPr="003B2AE9" w:rsidRDefault="00A51C81" w:rsidP="000B12C4">
      <w:pPr>
        <w:pStyle w:val="NormalWeb"/>
        <w:tabs>
          <w:tab w:val="left" w:pos="1440"/>
        </w:tabs>
        <w:spacing w:before="0" w:beforeAutospacing="0" w:after="0" w:afterAutospacing="0"/>
        <w:ind w:left="1440" w:hanging="720"/>
        <w:rPr>
          <w:rFonts w:ascii="Bookman Old Style" w:hAnsi="Bookman Old Style"/>
        </w:rPr>
      </w:pPr>
      <w:r w:rsidRPr="003B2AE9">
        <w:rPr>
          <w:rFonts w:ascii="Bookman Old Style" w:hAnsi="Bookman Old Style"/>
        </w:rPr>
        <w:t xml:space="preserve">(1) </w:t>
      </w:r>
      <w:r w:rsidRPr="003B2AE9">
        <w:rPr>
          <w:rFonts w:ascii="Bookman Old Style" w:hAnsi="Bookman Old Style"/>
        </w:rPr>
        <w:tab/>
        <w:t xml:space="preserve">electronic means using an Internet application for benefits, which is the division's preferred and primary method for filing an initial claim; </w:t>
      </w:r>
    </w:p>
    <w:p w:rsidR="00A51C81" w:rsidRPr="003B2AE9" w:rsidRDefault="00A51C81" w:rsidP="000B12C4">
      <w:pPr>
        <w:pStyle w:val="NormalWeb"/>
        <w:tabs>
          <w:tab w:val="left" w:pos="1440"/>
        </w:tabs>
        <w:spacing w:before="0" w:beforeAutospacing="0" w:after="0" w:afterAutospacing="0"/>
        <w:ind w:firstLine="720"/>
        <w:rPr>
          <w:rFonts w:ascii="Bookman Old Style" w:hAnsi="Bookman Old Style"/>
        </w:rPr>
      </w:pPr>
      <w:r w:rsidRPr="003B2AE9">
        <w:rPr>
          <w:rFonts w:ascii="Bookman Old Style" w:hAnsi="Bookman Old Style"/>
        </w:rPr>
        <w:t xml:space="preserve">(2) </w:t>
      </w:r>
      <w:r w:rsidRPr="003B2AE9">
        <w:rPr>
          <w:rFonts w:ascii="Bookman Old Style" w:hAnsi="Bookman Old Style"/>
        </w:rPr>
        <w:tab/>
        <w:t xml:space="preserve">telephone; or </w:t>
      </w:r>
    </w:p>
    <w:p w:rsidR="00A51C81" w:rsidRDefault="00A51C81" w:rsidP="000B12C4">
      <w:pPr>
        <w:pStyle w:val="NormalWeb"/>
        <w:tabs>
          <w:tab w:val="left" w:pos="1440"/>
        </w:tabs>
        <w:spacing w:before="0" w:beforeAutospacing="0" w:after="0" w:afterAutospacing="0"/>
        <w:ind w:firstLine="720"/>
        <w:rPr>
          <w:rFonts w:ascii="Bookman Old Style" w:hAnsi="Bookman Old Style"/>
        </w:rPr>
      </w:pPr>
      <w:r w:rsidRPr="003B2AE9">
        <w:rPr>
          <w:rFonts w:ascii="Bookman Old Style" w:hAnsi="Bookman Old Style"/>
        </w:rPr>
        <w:t xml:space="preserve">(3) </w:t>
      </w:r>
      <w:r w:rsidRPr="003B2AE9">
        <w:rPr>
          <w:rFonts w:ascii="Bookman Old Style" w:hAnsi="Bookman Old Style"/>
        </w:rPr>
        <w:tab/>
        <w:t xml:space="preserve">mail, with the prior approval of the director. </w:t>
      </w:r>
    </w:p>
    <w:p w:rsidR="000B12C4" w:rsidRPr="003B2AE9" w:rsidRDefault="000B12C4" w:rsidP="000B12C4">
      <w:pPr>
        <w:pStyle w:val="NormalWeb"/>
        <w:tabs>
          <w:tab w:val="left" w:pos="1440"/>
        </w:tabs>
        <w:spacing w:before="0" w:beforeAutospacing="0" w:after="0" w:afterAutospacing="0"/>
        <w:ind w:firstLine="720"/>
        <w:rPr>
          <w:rFonts w:ascii="Bookman Old Style" w:hAnsi="Bookman Old Style"/>
        </w:rPr>
      </w:pPr>
    </w:p>
    <w:p w:rsidR="000B12C4" w:rsidRPr="003B2AE9" w:rsidRDefault="00A51C81" w:rsidP="000B12C4">
      <w:pPr>
        <w:pStyle w:val="NormalWeb"/>
        <w:tabs>
          <w:tab w:val="left" w:pos="1440"/>
        </w:tabs>
        <w:spacing w:before="0" w:beforeAutospacing="0" w:after="0" w:afterAutospacing="0"/>
        <w:rPr>
          <w:rFonts w:ascii="Bookman Old Style" w:hAnsi="Bookman Old Style"/>
        </w:rPr>
      </w:pPr>
      <w:r w:rsidRPr="003B2AE9">
        <w:rPr>
          <w:rFonts w:ascii="Bookman Old Style" w:hAnsi="Bookman Old Style"/>
        </w:rPr>
        <w:t xml:space="preserve">(c) An initial claim is effective Sunday of the week in which the claimant </w:t>
      </w:r>
    </w:p>
    <w:p w:rsidR="00A51C81" w:rsidRPr="003B2AE9" w:rsidRDefault="00A51C81" w:rsidP="000B12C4">
      <w:pPr>
        <w:pStyle w:val="NormalWeb"/>
        <w:tabs>
          <w:tab w:val="left" w:pos="1440"/>
        </w:tabs>
        <w:spacing w:before="0" w:beforeAutospacing="0" w:after="0" w:afterAutospacing="0"/>
        <w:ind w:firstLine="720"/>
        <w:rPr>
          <w:rFonts w:ascii="Bookman Old Style" w:hAnsi="Bookman Old Style"/>
        </w:rPr>
      </w:pPr>
      <w:r w:rsidRPr="003B2AE9">
        <w:rPr>
          <w:rFonts w:ascii="Bookman Old Style" w:hAnsi="Bookman Old Style"/>
        </w:rPr>
        <w:t xml:space="preserve">(1) </w:t>
      </w:r>
      <w:r w:rsidRPr="003B2AE9">
        <w:rPr>
          <w:rFonts w:ascii="Bookman Old Style" w:hAnsi="Bookman Old Style"/>
        </w:rPr>
        <w:tab/>
        <w:t xml:space="preserve">files the claim; or </w:t>
      </w:r>
    </w:p>
    <w:p w:rsidR="00A51C81" w:rsidRDefault="00A51C81" w:rsidP="000B12C4">
      <w:pPr>
        <w:pStyle w:val="NormalWeb"/>
        <w:tabs>
          <w:tab w:val="left" w:pos="1440"/>
        </w:tabs>
        <w:spacing w:before="0" w:beforeAutospacing="0" w:after="0" w:afterAutospacing="0"/>
        <w:ind w:left="1440" w:hanging="720"/>
        <w:rPr>
          <w:rFonts w:ascii="Bookman Old Style" w:hAnsi="Bookman Old Style"/>
        </w:rPr>
      </w:pPr>
      <w:r w:rsidRPr="003B2AE9">
        <w:rPr>
          <w:rFonts w:ascii="Bookman Old Style" w:hAnsi="Bookman Old Style"/>
        </w:rPr>
        <w:t xml:space="preserve">(2) </w:t>
      </w:r>
      <w:r w:rsidRPr="003B2AE9">
        <w:rPr>
          <w:rFonts w:ascii="Bookman Old Style" w:hAnsi="Bookman Old Style"/>
        </w:rPr>
        <w:tab/>
        <w:t xml:space="preserve">requests to file a claim during regular business hours of the division, if the claim cannot be immediately accepted and the claimant files the claim within five business days after the date of that request, or if filed by mail, within 14 calendar days after the date of that request. </w:t>
      </w:r>
    </w:p>
    <w:p w:rsidR="000B12C4" w:rsidRPr="003B2AE9" w:rsidRDefault="000B12C4" w:rsidP="000B12C4">
      <w:pPr>
        <w:pStyle w:val="NormalWeb"/>
        <w:tabs>
          <w:tab w:val="left" w:pos="1440"/>
        </w:tabs>
        <w:spacing w:before="0" w:beforeAutospacing="0" w:after="0" w:afterAutospacing="0"/>
        <w:ind w:left="1440" w:hanging="720"/>
        <w:rPr>
          <w:rFonts w:ascii="Bookman Old Style" w:hAnsi="Bookman Old Style"/>
        </w:rPr>
      </w:pPr>
    </w:p>
    <w:p w:rsidR="000B12C4" w:rsidRPr="003B2AE9" w:rsidRDefault="00A51C81" w:rsidP="001E771F">
      <w:pPr>
        <w:pStyle w:val="NormalWeb"/>
        <w:tabs>
          <w:tab w:val="left" w:pos="1440"/>
        </w:tabs>
        <w:spacing w:before="0" w:beforeAutospacing="0" w:after="0" w:afterAutospacing="0"/>
        <w:ind w:left="360" w:hanging="360"/>
        <w:rPr>
          <w:rFonts w:ascii="Bookman Old Style" w:hAnsi="Bookman Old Style"/>
        </w:rPr>
      </w:pPr>
      <w:r w:rsidRPr="003B2AE9">
        <w:rPr>
          <w:rFonts w:ascii="Bookman Old Style" w:hAnsi="Bookman Old Style"/>
        </w:rPr>
        <w:t xml:space="preserve">(d) An initial claim filed by mail is effective on Sunday of the week of the postmark date of the mailing of the completed claim form. </w:t>
      </w:r>
    </w:p>
    <w:p w:rsidR="000B12C4" w:rsidRPr="003B2AE9" w:rsidRDefault="00A51C81" w:rsidP="001E771F">
      <w:pPr>
        <w:pStyle w:val="NormalWeb"/>
        <w:tabs>
          <w:tab w:val="left" w:pos="1440"/>
        </w:tabs>
        <w:spacing w:before="0" w:beforeAutospacing="0" w:after="0" w:afterAutospacing="0"/>
        <w:ind w:left="360" w:hanging="360"/>
        <w:rPr>
          <w:rFonts w:ascii="Bookman Old Style" w:hAnsi="Bookman Old Style"/>
        </w:rPr>
      </w:pPr>
      <w:r w:rsidRPr="003B2AE9">
        <w:rPr>
          <w:rFonts w:ascii="Bookman Old Style" w:hAnsi="Bookman Old Style"/>
        </w:rPr>
        <w:t xml:space="preserve">(e) Repealed 3/25/2007. </w:t>
      </w:r>
    </w:p>
    <w:p w:rsidR="00A51C81" w:rsidRPr="003B2AE9" w:rsidRDefault="00A51C81" w:rsidP="001E771F">
      <w:pPr>
        <w:pStyle w:val="NormalWeb"/>
        <w:tabs>
          <w:tab w:val="left" w:pos="1440"/>
        </w:tabs>
        <w:spacing w:before="0" w:beforeAutospacing="0" w:after="0" w:afterAutospacing="0"/>
        <w:ind w:left="360" w:hanging="360"/>
        <w:rPr>
          <w:rFonts w:ascii="Bookman Old Style" w:hAnsi="Bookman Old Style"/>
        </w:rPr>
      </w:pPr>
      <w:r w:rsidRPr="003B2AE9">
        <w:rPr>
          <w:rFonts w:ascii="Bookman Old Style" w:hAnsi="Bookman Old Style"/>
        </w:rPr>
        <w:t xml:space="preserve">(f) A claimant who is in continued claim status at the end of a benefit year must file a new claim to begin a new benefit year. An extended benefit </w:t>
      </w:r>
      <w:r w:rsidRPr="003B2AE9">
        <w:rPr>
          <w:rFonts w:ascii="Bookman Old Style" w:hAnsi="Bookman Old Style"/>
        </w:rPr>
        <w:lastRenderedPageBreak/>
        <w:t>claimant who is in continued claim status at the end of the benefit year, or at the end of any quarter following the benefit year, must file a new claim to determine eligibility for regular benefits in a new benefit year. The director will send a notice of the requirement to file a new claim to the claimant at least two weeks before the end of the benefit year or the end of the applicable calendar quarter.</w:t>
      </w:r>
    </w:p>
    <w:p w:rsidR="00A51C81" w:rsidRPr="003B2AE9" w:rsidRDefault="00A51C81" w:rsidP="001E771F">
      <w:pPr>
        <w:pStyle w:val="NormalWeb"/>
        <w:tabs>
          <w:tab w:val="left" w:pos="1440"/>
        </w:tabs>
        <w:spacing w:before="0" w:beforeAutospacing="0" w:after="0" w:afterAutospacing="0"/>
        <w:ind w:left="360" w:hanging="360"/>
        <w:rPr>
          <w:rFonts w:ascii="Bookman Old Style" w:hAnsi="Bookman Old Style"/>
        </w:rPr>
      </w:pPr>
      <w:r w:rsidRPr="003B2AE9">
        <w:rPr>
          <w:rFonts w:ascii="Bookman Old Style" w:hAnsi="Bookman Old Style"/>
        </w:rPr>
        <w:t xml:space="preserve">(g) A transitional claim, or any new claim filed during a series of continued claims after the end of a benefit year, is effective on Sunday of the week immediately following the end of the benefit year or the applicable calendar quarter, if the claim is filed no later than seven calendar days after the end of the benefit year or applicable calendar quarter. The director shall extend the time allowed for filing the claim if the failure to file the claim earlier was caused by an oversight or error of the division. </w:t>
      </w:r>
    </w:p>
    <w:p w:rsidR="00A51C81" w:rsidRPr="003B2AE9" w:rsidRDefault="00A51C81" w:rsidP="001E771F">
      <w:pPr>
        <w:pStyle w:val="NormalWeb"/>
        <w:tabs>
          <w:tab w:val="left" w:pos="1440"/>
        </w:tabs>
        <w:spacing w:before="0" w:beforeAutospacing="0" w:after="0" w:afterAutospacing="0"/>
        <w:ind w:left="360" w:hanging="360"/>
        <w:rPr>
          <w:rFonts w:ascii="Bookman Old Style" w:hAnsi="Bookman Old Style"/>
        </w:rPr>
      </w:pPr>
      <w:r w:rsidRPr="003B2AE9">
        <w:rPr>
          <w:rFonts w:ascii="Bookman Old Style" w:hAnsi="Bookman Old Style"/>
        </w:rPr>
        <w:t xml:space="preserve">(h) A claimant shall file an additional claim to begin a new series of continued claims in a benefit year if the claimant had intervening work and </w:t>
      </w:r>
    </w:p>
    <w:p w:rsidR="00A51C81" w:rsidRPr="003B2AE9" w:rsidRDefault="00A51C81" w:rsidP="000B12C4">
      <w:pPr>
        <w:pStyle w:val="NormalWeb"/>
        <w:tabs>
          <w:tab w:val="left" w:pos="1440"/>
        </w:tabs>
        <w:spacing w:before="0" w:beforeAutospacing="0" w:after="0" w:afterAutospacing="0"/>
        <w:ind w:firstLine="720"/>
        <w:rPr>
          <w:rFonts w:ascii="Bookman Old Style" w:hAnsi="Bookman Old Style"/>
        </w:rPr>
      </w:pPr>
      <w:r w:rsidRPr="003B2AE9">
        <w:rPr>
          <w:rFonts w:ascii="Bookman Old Style" w:hAnsi="Bookman Old Style"/>
        </w:rPr>
        <w:t xml:space="preserve">(1) </w:t>
      </w:r>
      <w:r w:rsidRPr="003B2AE9">
        <w:rPr>
          <w:rFonts w:ascii="Bookman Old Style" w:hAnsi="Bookman Old Style"/>
        </w:rPr>
        <w:tab/>
        <w:t xml:space="preserve">stopped filing continued claims; or </w:t>
      </w:r>
    </w:p>
    <w:p w:rsidR="00A51C81" w:rsidRDefault="00A51C81" w:rsidP="000B12C4">
      <w:pPr>
        <w:pStyle w:val="NormalWeb"/>
        <w:tabs>
          <w:tab w:val="left" w:pos="1440"/>
        </w:tabs>
        <w:spacing w:before="0" w:beforeAutospacing="0" w:after="0" w:afterAutospacing="0"/>
        <w:ind w:left="1440" w:hanging="720"/>
        <w:rPr>
          <w:rFonts w:ascii="Bookman Old Style" w:hAnsi="Bookman Old Style"/>
        </w:rPr>
      </w:pPr>
      <w:r w:rsidRPr="003B2AE9">
        <w:rPr>
          <w:rFonts w:ascii="Bookman Old Style" w:hAnsi="Bookman Old Style"/>
        </w:rPr>
        <w:t xml:space="preserve">(2) </w:t>
      </w:r>
      <w:r w:rsidRPr="003B2AE9">
        <w:rPr>
          <w:rFonts w:ascii="Bookman Old Style" w:hAnsi="Bookman Old Style"/>
        </w:rPr>
        <w:tab/>
        <w:t xml:space="preserve">earned wages for a week greater than one and one-third times the weekly benefit amount plus $50. </w:t>
      </w:r>
    </w:p>
    <w:p w:rsidR="000B12C4" w:rsidRPr="003B2AE9" w:rsidRDefault="000B12C4" w:rsidP="000B12C4">
      <w:pPr>
        <w:pStyle w:val="NormalWeb"/>
        <w:tabs>
          <w:tab w:val="left" w:pos="1440"/>
        </w:tabs>
        <w:spacing w:before="0" w:beforeAutospacing="0" w:after="0" w:afterAutospacing="0"/>
        <w:ind w:left="1440" w:hanging="720"/>
        <w:rPr>
          <w:rFonts w:ascii="Bookman Old Style" w:hAnsi="Bookman Old Style"/>
        </w:rPr>
      </w:pPr>
    </w:p>
    <w:p w:rsidR="00A51C81" w:rsidRPr="003B2AE9" w:rsidRDefault="00A51C81" w:rsidP="000B12C4">
      <w:pPr>
        <w:pStyle w:val="NormalWeb"/>
        <w:tabs>
          <w:tab w:val="left" w:pos="1440"/>
        </w:tabs>
        <w:spacing w:before="0" w:beforeAutospacing="0" w:after="0" w:afterAutospacing="0"/>
        <w:rPr>
          <w:rFonts w:ascii="Bookman Old Style" w:hAnsi="Bookman Old Style"/>
        </w:rPr>
      </w:pPr>
      <w:r w:rsidRPr="003B2AE9">
        <w:rPr>
          <w:rFonts w:ascii="Bookman Old Style" w:hAnsi="Bookman Old Style"/>
        </w:rPr>
        <w:t xml:space="preserve">(i) An claimant filing an additional claim shall provide </w:t>
      </w:r>
    </w:p>
    <w:p w:rsidR="00A51C81" w:rsidRPr="003B2AE9" w:rsidRDefault="00A51C81" w:rsidP="000B12C4">
      <w:pPr>
        <w:pStyle w:val="NormalWeb"/>
        <w:tabs>
          <w:tab w:val="left" w:pos="1440"/>
        </w:tabs>
        <w:spacing w:before="0" w:beforeAutospacing="0" w:after="0" w:afterAutospacing="0"/>
        <w:ind w:firstLine="720"/>
        <w:rPr>
          <w:rFonts w:ascii="Bookman Old Style" w:hAnsi="Bookman Old Style"/>
        </w:rPr>
      </w:pPr>
      <w:r w:rsidRPr="003B2AE9">
        <w:rPr>
          <w:rFonts w:ascii="Bookman Old Style" w:hAnsi="Bookman Old Style"/>
        </w:rPr>
        <w:t xml:space="preserve">(1) </w:t>
      </w:r>
      <w:r w:rsidRPr="003B2AE9">
        <w:rPr>
          <w:rFonts w:ascii="Bookman Old Style" w:hAnsi="Bookman Old Style"/>
        </w:rPr>
        <w:tab/>
        <w:t xml:space="preserve">the name and address of the claimant's last employer; </w:t>
      </w:r>
    </w:p>
    <w:p w:rsidR="00A51C81" w:rsidRPr="003B2AE9" w:rsidRDefault="00A51C81" w:rsidP="000B12C4">
      <w:pPr>
        <w:pStyle w:val="NormalWeb"/>
        <w:tabs>
          <w:tab w:val="left" w:pos="1440"/>
        </w:tabs>
        <w:spacing w:before="0" w:beforeAutospacing="0" w:after="0" w:afterAutospacing="0"/>
        <w:ind w:firstLine="720"/>
        <w:rPr>
          <w:rFonts w:ascii="Bookman Old Style" w:hAnsi="Bookman Old Style"/>
        </w:rPr>
      </w:pPr>
      <w:r w:rsidRPr="003B2AE9">
        <w:rPr>
          <w:rFonts w:ascii="Bookman Old Style" w:hAnsi="Bookman Old Style"/>
        </w:rPr>
        <w:t xml:space="preserve">(2) </w:t>
      </w:r>
      <w:r w:rsidRPr="003B2AE9">
        <w:rPr>
          <w:rFonts w:ascii="Bookman Old Style" w:hAnsi="Bookman Old Style"/>
        </w:rPr>
        <w:tab/>
        <w:t xml:space="preserve">the dates of employment; and </w:t>
      </w:r>
    </w:p>
    <w:p w:rsidR="00A51C81" w:rsidRDefault="00A51C81" w:rsidP="000B12C4">
      <w:pPr>
        <w:pStyle w:val="NormalWeb"/>
        <w:tabs>
          <w:tab w:val="left" w:pos="1440"/>
        </w:tabs>
        <w:spacing w:before="0" w:beforeAutospacing="0" w:after="0" w:afterAutospacing="0"/>
        <w:ind w:firstLine="720"/>
        <w:rPr>
          <w:rFonts w:ascii="Bookman Old Style" w:hAnsi="Bookman Old Style"/>
        </w:rPr>
      </w:pPr>
      <w:r w:rsidRPr="003B2AE9">
        <w:rPr>
          <w:rFonts w:ascii="Bookman Old Style" w:hAnsi="Bookman Old Style"/>
        </w:rPr>
        <w:t xml:space="preserve">(3) </w:t>
      </w:r>
      <w:r w:rsidRPr="003B2AE9">
        <w:rPr>
          <w:rFonts w:ascii="Bookman Old Style" w:hAnsi="Bookman Old Style"/>
        </w:rPr>
        <w:tab/>
        <w:t xml:space="preserve">the reason for separation from that employer. </w:t>
      </w:r>
    </w:p>
    <w:p w:rsidR="000B12C4" w:rsidRPr="003B2AE9" w:rsidRDefault="000B12C4" w:rsidP="000B12C4">
      <w:pPr>
        <w:pStyle w:val="NormalWeb"/>
        <w:tabs>
          <w:tab w:val="left" w:pos="1440"/>
        </w:tabs>
        <w:spacing w:before="0" w:beforeAutospacing="0" w:after="0" w:afterAutospacing="0"/>
        <w:ind w:firstLine="720"/>
        <w:rPr>
          <w:rFonts w:ascii="Bookman Old Style" w:hAnsi="Bookman Old Style"/>
        </w:rPr>
      </w:pPr>
    </w:p>
    <w:p w:rsidR="00A51C81" w:rsidRPr="003B2AE9" w:rsidRDefault="00A51C81" w:rsidP="001E771F">
      <w:pPr>
        <w:pStyle w:val="NormalWeb"/>
        <w:tabs>
          <w:tab w:val="left" w:pos="1440"/>
        </w:tabs>
        <w:spacing w:before="0" w:beforeAutospacing="0" w:after="0" w:afterAutospacing="0"/>
        <w:ind w:left="270" w:hanging="270"/>
        <w:rPr>
          <w:rFonts w:ascii="Bookman Old Style" w:hAnsi="Bookman Old Style"/>
        </w:rPr>
      </w:pPr>
      <w:r w:rsidRPr="003B2AE9">
        <w:rPr>
          <w:rFonts w:ascii="Bookman Old Style" w:hAnsi="Bookman Old Style"/>
        </w:rPr>
        <w:t xml:space="preserve">(j) A claimant who stopped filing continued claims for a reason other than work shall file a reopened claim to begin a new series of continued claims in the same benefit year. A claimant filing a reopened claim shall provide the reason why the claimant stopped filing continued claims. </w:t>
      </w:r>
    </w:p>
    <w:p w:rsidR="00B317D0" w:rsidRDefault="00B317D0" w:rsidP="003B2AE9">
      <w:pPr>
        <w:rPr>
          <w:rFonts w:ascii="Bookman Old Style" w:hAnsi="Bookman Old Style"/>
          <w:szCs w:val="24"/>
        </w:rPr>
      </w:pPr>
    </w:p>
    <w:p w:rsidR="00EF2192" w:rsidRDefault="00EF2192" w:rsidP="00EF2192">
      <w:pPr>
        <w:tabs>
          <w:tab w:val="left" w:pos="-1440"/>
          <w:tab w:val="left" w:pos="-720"/>
        </w:tabs>
        <w:ind w:left="-90" w:right="432"/>
        <w:rPr>
          <w:rFonts w:ascii="Bookman Old Style" w:hAnsi="Bookman Old Style"/>
          <w:b/>
          <w:bCs/>
          <w:color w:val="333333"/>
          <w:szCs w:val="24"/>
        </w:rPr>
      </w:pPr>
      <w:r w:rsidRPr="004C3E51">
        <w:rPr>
          <w:rFonts w:ascii="Bookman Old Style" w:hAnsi="Bookman Old Style"/>
          <w:b/>
          <w:bCs/>
          <w:color w:val="333333"/>
          <w:szCs w:val="24"/>
        </w:rPr>
        <w:t xml:space="preserve">Sec. 23.20.095. Exchange of services, facilities, and information. </w:t>
      </w:r>
    </w:p>
    <w:p w:rsidR="00EF2192" w:rsidRPr="00997005" w:rsidRDefault="00EF2192" w:rsidP="00997005">
      <w:pPr>
        <w:tabs>
          <w:tab w:val="left" w:pos="-1440"/>
          <w:tab w:val="left" w:pos="-720"/>
        </w:tabs>
        <w:ind w:left="720" w:right="432"/>
        <w:rPr>
          <w:rFonts w:ascii="Bookman Old Style" w:hAnsi="Bookman Old Style" w:cs="Courier New"/>
          <w:color w:val="333333"/>
          <w:szCs w:val="24"/>
          <w:shd w:val="clear" w:color="auto" w:fill="FFFFFF"/>
        </w:rPr>
      </w:pPr>
      <w:r w:rsidRPr="004C3E51">
        <w:rPr>
          <w:rFonts w:ascii="Bookman Old Style" w:hAnsi="Bookman Old Style"/>
          <w:b/>
          <w:bCs/>
          <w:color w:val="333333"/>
          <w:szCs w:val="24"/>
        </w:rPr>
        <w:br/>
      </w:r>
      <w:r>
        <w:rPr>
          <w:rFonts w:ascii="Bookman Old Style" w:hAnsi="Bookman Old Style" w:cs="Courier New"/>
          <w:color w:val="333333"/>
          <w:szCs w:val="24"/>
          <w:shd w:val="clear" w:color="auto" w:fill="FFFFFF"/>
        </w:rPr>
        <w:t>(a)</w:t>
      </w:r>
      <w:r w:rsidRPr="004C3E51">
        <w:rPr>
          <w:rFonts w:ascii="Bookman Old Style" w:hAnsi="Bookman Old Style" w:cs="Courier New"/>
          <w:color w:val="333333"/>
          <w:szCs w:val="24"/>
          <w:shd w:val="clear" w:color="auto" w:fill="FFFFFF"/>
        </w:rPr>
        <w:t>The administration of this chapter and of other state and federal unemployment compensation and public employment service laws will be promoted by cooperation between this state and those states and the appropriate federal agencies exchanging services and making facilities and information available.</w:t>
      </w:r>
      <w:r w:rsidRPr="004C3E51">
        <w:rPr>
          <w:rFonts w:ascii="Bookman Old Style" w:hAnsi="Bookman Old Style"/>
          <w:color w:val="333333"/>
          <w:szCs w:val="24"/>
        </w:rPr>
        <w:br/>
      </w:r>
      <w:r>
        <w:rPr>
          <w:rFonts w:ascii="Bookman Old Style" w:hAnsi="Bookman Old Style" w:cs="Courier New"/>
          <w:color w:val="333333"/>
          <w:szCs w:val="24"/>
          <w:shd w:val="clear" w:color="auto" w:fill="FFFFFF"/>
        </w:rPr>
        <w:t>(b)</w:t>
      </w:r>
      <w:r w:rsidRPr="004C3E51">
        <w:rPr>
          <w:rFonts w:ascii="Bookman Old Style" w:hAnsi="Bookman Old Style" w:cs="Courier New"/>
          <w:color w:val="333333"/>
          <w:szCs w:val="24"/>
          <w:shd w:val="clear" w:color="auto" w:fill="FFFFFF"/>
        </w:rPr>
        <w:t>The department may make investigations, secure and transmit information, make available services and facilities, and exercise other powers provided in this chapter with respect to the administration of this chapter which the department considers necessary or appropriate to facilitate the administration of the unemployment compensation or public employment service law of another state or the federal government…</w:t>
      </w:r>
    </w:p>
    <w:p w:rsidR="005A281D" w:rsidRPr="003B2AE9" w:rsidRDefault="005A281D" w:rsidP="003B2AE9">
      <w:pPr>
        <w:pStyle w:val="Heading4"/>
        <w:jc w:val="center"/>
        <w:rPr>
          <w:rFonts w:ascii="Bookman Old Style" w:hAnsi="Bookman Old Style"/>
          <w:szCs w:val="24"/>
        </w:rPr>
      </w:pPr>
      <w:r w:rsidRPr="003B2AE9">
        <w:rPr>
          <w:rFonts w:ascii="Bookman Old Style" w:hAnsi="Bookman Old Style"/>
          <w:szCs w:val="24"/>
        </w:rPr>
        <w:t>CONCLUSION</w:t>
      </w:r>
    </w:p>
    <w:p w:rsidR="005A281D" w:rsidRPr="003B2AE9" w:rsidRDefault="005A281D" w:rsidP="003B2AE9">
      <w:pPr>
        <w:tabs>
          <w:tab w:val="left" w:pos="-1440"/>
          <w:tab w:val="left" w:pos="-720"/>
        </w:tabs>
        <w:rPr>
          <w:rFonts w:ascii="Bookman Old Style" w:hAnsi="Bookman Old Style"/>
          <w:szCs w:val="24"/>
        </w:rPr>
      </w:pPr>
    </w:p>
    <w:p w:rsidR="00A51C81" w:rsidRDefault="003E6D64" w:rsidP="00EF2192">
      <w:pPr>
        <w:tabs>
          <w:tab w:val="left" w:pos="-1440"/>
          <w:tab w:val="left" w:pos="-720"/>
        </w:tabs>
        <w:suppressAutoHyphens/>
        <w:rPr>
          <w:rFonts w:ascii="Bookman Old Style" w:hAnsi="Bookman Old Style"/>
          <w:spacing w:val="-3"/>
          <w:szCs w:val="24"/>
        </w:rPr>
      </w:pPr>
      <w:r>
        <w:rPr>
          <w:rFonts w:ascii="Bookman Old Style" w:hAnsi="Bookman Old Style"/>
          <w:spacing w:val="-3"/>
          <w:szCs w:val="24"/>
        </w:rPr>
        <w:t xml:space="preserve">The claimant in this case filed a claim for benefits promptly upon becoming </w:t>
      </w:r>
      <w:r>
        <w:rPr>
          <w:rFonts w:ascii="Bookman Old Style" w:hAnsi="Bookman Old Style"/>
          <w:spacing w:val="-3"/>
          <w:szCs w:val="24"/>
        </w:rPr>
        <w:lastRenderedPageBreak/>
        <w:t xml:space="preserve">unemployed.  He lived in Nevada and had most recently worked in Nevada, so his employer’s instruction to contact Nevada’s unemployment office was reasonable to him. He was allowed to establish a claim in Nevada and filed certifications to claim benefits for one or two weeks before he was directed to contact the office. He immediately attempted to do that, but contact was delayed by the flood of calls to that office due to the COVID-19 pandemic.  When the claimant did make contact, he was directed to call another office and then referred back to the same office.  He eventually realized that he might have to call Alaska only because his girlfriend was directed to do so and their claim situations were similar.  </w:t>
      </w:r>
    </w:p>
    <w:p w:rsidR="003E6D64" w:rsidRPr="003B2AE9" w:rsidRDefault="003E6D64" w:rsidP="00EF2192">
      <w:pPr>
        <w:tabs>
          <w:tab w:val="left" w:pos="-1440"/>
          <w:tab w:val="left" w:pos="-720"/>
        </w:tabs>
        <w:suppressAutoHyphens/>
        <w:rPr>
          <w:rFonts w:ascii="Bookman Old Style" w:hAnsi="Bookman Old Style"/>
          <w:i/>
          <w:szCs w:val="24"/>
        </w:rPr>
      </w:pPr>
    </w:p>
    <w:p w:rsidR="003E6D64" w:rsidRDefault="003E6D64" w:rsidP="003E6D64">
      <w:pPr>
        <w:rPr>
          <w:rFonts w:ascii="Bookman Old Style" w:hAnsi="Bookman Old Style"/>
          <w:spacing w:val="-3"/>
          <w:szCs w:val="24"/>
        </w:rPr>
      </w:pPr>
      <w:r>
        <w:rPr>
          <w:rFonts w:ascii="Bookman Old Style" w:hAnsi="Bookman Old Style"/>
          <w:spacing w:val="-3"/>
          <w:szCs w:val="24"/>
        </w:rPr>
        <w:t>The claimant’s actions in attempting to open a claim in Nevada resulted in a considerable delay in contacting the Division to re-open his claim</w:t>
      </w:r>
      <w:r w:rsidR="00B2269A">
        <w:rPr>
          <w:rFonts w:ascii="Bookman Old Style" w:hAnsi="Bookman Old Style"/>
          <w:spacing w:val="-3"/>
          <w:szCs w:val="24"/>
        </w:rPr>
        <w:t xml:space="preserve"> in Alaska</w:t>
      </w:r>
      <w:r>
        <w:rPr>
          <w:rFonts w:ascii="Bookman Old Style" w:hAnsi="Bookman Old Style"/>
          <w:spacing w:val="-3"/>
          <w:szCs w:val="24"/>
        </w:rPr>
        <w:t xml:space="preserve">.  It can be reasonably assumed that the State of Nevada had access to nationwide </w:t>
      </w:r>
      <w:r w:rsidR="00285DE5">
        <w:rPr>
          <w:rFonts w:ascii="Bookman Old Style" w:hAnsi="Bookman Old Style"/>
          <w:spacing w:val="-3"/>
          <w:szCs w:val="24"/>
        </w:rPr>
        <w:t xml:space="preserve">unemployment </w:t>
      </w:r>
      <w:r>
        <w:rPr>
          <w:rFonts w:ascii="Bookman Old Style" w:hAnsi="Bookman Old Style"/>
          <w:spacing w:val="-3"/>
          <w:szCs w:val="24"/>
        </w:rPr>
        <w:t>claim information and therefore had an obligation to direct the claimant to contact Alaska to re-open his claim</w:t>
      </w:r>
      <w:r w:rsidR="00B2269A">
        <w:rPr>
          <w:rFonts w:ascii="Bookman Old Style" w:hAnsi="Bookman Old Style"/>
          <w:spacing w:val="-3"/>
          <w:szCs w:val="24"/>
        </w:rPr>
        <w:t xml:space="preserve"> within a reasonable time of his attempt to establish a claim in Nevada</w:t>
      </w:r>
      <w:r>
        <w:rPr>
          <w:rFonts w:ascii="Bookman Old Style" w:hAnsi="Bookman Old Style"/>
          <w:spacing w:val="-3"/>
          <w:szCs w:val="24"/>
        </w:rPr>
        <w:t>.</w:t>
      </w:r>
    </w:p>
    <w:p w:rsidR="003E6D64" w:rsidRDefault="003E6D64" w:rsidP="003E6D64">
      <w:pPr>
        <w:tabs>
          <w:tab w:val="left" w:pos="-1440"/>
          <w:tab w:val="left" w:pos="-720"/>
        </w:tabs>
        <w:rPr>
          <w:rFonts w:ascii="Bookman Old Style" w:hAnsi="Bookman Old Style"/>
        </w:rPr>
      </w:pPr>
    </w:p>
    <w:p w:rsidR="003E6D64" w:rsidRDefault="003E6D64" w:rsidP="003E6D64">
      <w:pPr>
        <w:tabs>
          <w:tab w:val="left" w:pos="-1440"/>
          <w:tab w:val="left" w:pos="-720"/>
        </w:tabs>
        <w:rPr>
          <w:rFonts w:ascii="Bookman Old Style" w:hAnsi="Bookman Old Style"/>
        </w:rPr>
      </w:pPr>
      <w:r>
        <w:rPr>
          <w:rFonts w:ascii="Bookman Old Style" w:hAnsi="Bookman Old Style"/>
        </w:rPr>
        <w:t>Because the delayed processing of his claim was through no fault of his own</w:t>
      </w:r>
      <w:r w:rsidR="00B2269A">
        <w:rPr>
          <w:rFonts w:ascii="Bookman Old Style" w:hAnsi="Bookman Old Style"/>
        </w:rPr>
        <w:t>,</w:t>
      </w:r>
      <w:r>
        <w:rPr>
          <w:rFonts w:ascii="Bookman Old Style" w:hAnsi="Bookman Old Style"/>
        </w:rPr>
        <w:t xml:space="preserve"> the Tribunal holds his claim should be backdated to reflect his first attempt to file the necessary initial claim, and continuing claims for benefits filed in a timely fashion. </w:t>
      </w:r>
    </w:p>
    <w:p w:rsidR="005A281D" w:rsidRPr="003B2AE9" w:rsidRDefault="005A281D" w:rsidP="003B2AE9">
      <w:pPr>
        <w:tabs>
          <w:tab w:val="left" w:pos="-1440"/>
          <w:tab w:val="left" w:pos="-720"/>
        </w:tabs>
        <w:rPr>
          <w:rFonts w:ascii="Bookman Old Style" w:hAnsi="Bookman Old Style"/>
          <w:szCs w:val="24"/>
        </w:rPr>
      </w:pPr>
    </w:p>
    <w:p w:rsidR="005A281D" w:rsidRPr="003B2AE9" w:rsidRDefault="005A281D" w:rsidP="003B2AE9">
      <w:pPr>
        <w:pStyle w:val="Heading4"/>
        <w:jc w:val="center"/>
        <w:rPr>
          <w:rFonts w:ascii="Bookman Old Style" w:hAnsi="Bookman Old Style"/>
          <w:szCs w:val="24"/>
        </w:rPr>
      </w:pPr>
      <w:r w:rsidRPr="003B2AE9">
        <w:rPr>
          <w:rFonts w:ascii="Bookman Old Style" w:hAnsi="Bookman Old Style"/>
          <w:szCs w:val="24"/>
        </w:rPr>
        <w:t>DECISION</w:t>
      </w:r>
    </w:p>
    <w:p w:rsidR="005A281D" w:rsidRPr="003B2AE9" w:rsidRDefault="005A281D" w:rsidP="003B2AE9">
      <w:pPr>
        <w:tabs>
          <w:tab w:val="left" w:pos="-1440"/>
          <w:tab w:val="left" w:pos="-720"/>
        </w:tabs>
        <w:rPr>
          <w:rFonts w:ascii="Bookman Old Style" w:hAnsi="Bookman Old Style"/>
          <w:szCs w:val="24"/>
        </w:rPr>
      </w:pPr>
    </w:p>
    <w:p w:rsidR="003B2AE9" w:rsidRPr="00332F93" w:rsidRDefault="003B2AE9" w:rsidP="003B2AE9">
      <w:pPr>
        <w:tabs>
          <w:tab w:val="left" w:pos="-1440"/>
          <w:tab w:val="left" w:pos="-720"/>
        </w:tabs>
        <w:rPr>
          <w:rFonts w:ascii="Bookman Old Style" w:hAnsi="Bookman Old Style"/>
          <w:vanish/>
          <w:szCs w:val="24"/>
          <w:specVanish/>
        </w:rPr>
      </w:pPr>
      <w:r w:rsidRPr="00E663B4">
        <w:rPr>
          <w:rFonts w:ascii="Bookman Old Style" w:hAnsi="Bookman Old Style"/>
          <w:szCs w:val="24"/>
        </w:rPr>
        <w:t xml:space="preserve">The determination issued on </w:t>
      </w:r>
      <w:r w:rsidR="003E6D64">
        <w:rPr>
          <w:rFonts w:ascii="Bookman Old Style" w:hAnsi="Bookman Old Style"/>
          <w:szCs w:val="24"/>
        </w:rPr>
        <w:t>September 24, 2020</w:t>
      </w:r>
      <w:r w:rsidRPr="00E663B4">
        <w:rPr>
          <w:rFonts w:ascii="Bookman Old Style" w:hAnsi="Bookman Old Style"/>
          <w:szCs w:val="24"/>
        </w:rPr>
        <w:t xml:space="preserve"> is </w:t>
      </w:r>
      <w:r w:rsidR="003E6D64">
        <w:rPr>
          <w:rFonts w:ascii="Bookman Old Style" w:hAnsi="Bookman Old Style"/>
          <w:b/>
          <w:szCs w:val="24"/>
        </w:rPr>
        <w:t>REVERSED</w:t>
      </w:r>
      <w:r w:rsidRPr="00E663B4">
        <w:rPr>
          <w:rFonts w:ascii="Bookman Old Style" w:hAnsi="Bookman Old Style"/>
          <w:szCs w:val="24"/>
        </w:rPr>
        <w:t xml:space="preserve">. Benefits are </w:t>
      </w:r>
      <w:r w:rsidR="003E6D64">
        <w:rPr>
          <w:rFonts w:ascii="Bookman Old Style" w:hAnsi="Bookman Old Style"/>
          <w:b/>
          <w:szCs w:val="24"/>
        </w:rPr>
        <w:t>ALLOWED</w:t>
      </w:r>
      <w:r w:rsidR="003E6D64">
        <w:rPr>
          <w:rFonts w:ascii="Bookman Old Style" w:hAnsi="Bookman Old Style"/>
          <w:szCs w:val="24"/>
        </w:rPr>
        <w:t xml:space="preserve"> beginning with the week</w:t>
      </w:r>
      <w:r w:rsidRPr="00E663B4">
        <w:rPr>
          <w:rFonts w:ascii="Bookman Old Style" w:hAnsi="Bookman Old Style"/>
          <w:szCs w:val="24"/>
        </w:rPr>
        <w:t xml:space="preserve"> ending </w:t>
      </w:r>
      <w:r w:rsidR="003E6D64">
        <w:rPr>
          <w:rFonts w:ascii="Bookman Old Style" w:hAnsi="Bookman Old Style"/>
          <w:szCs w:val="24"/>
        </w:rPr>
        <w:t>March 28, 2020</w:t>
      </w:r>
      <w:r>
        <w:rPr>
          <w:rFonts w:ascii="Bookman Old Style" w:hAnsi="Bookman Old Style"/>
          <w:szCs w:val="24"/>
        </w:rPr>
        <w:t>, if the claimant is otherwise eligible</w:t>
      </w:r>
      <w:r w:rsidRPr="00E663B4">
        <w:rPr>
          <w:rFonts w:ascii="Bookman Old Style" w:hAnsi="Bookman Old Style"/>
          <w:szCs w:val="24"/>
        </w:rPr>
        <w:t>.</w:t>
      </w:r>
    </w:p>
    <w:p w:rsidR="003B2AE9" w:rsidRDefault="003B2AE9" w:rsidP="003B2AE9">
      <w:pPr>
        <w:rPr>
          <w:rFonts w:ascii="Bookman Old Style" w:hAnsi="Bookman Old Style"/>
          <w:szCs w:val="24"/>
        </w:rPr>
      </w:pPr>
      <w:r>
        <w:rPr>
          <w:rFonts w:ascii="Bookman Old Style" w:hAnsi="Bookman Old Style"/>
          <w:szCs w:val="24"/>
        </w:rPr>
        <w:t xml:space="preserve"> </w:t>
      </w:r>
    </w:p>
    <w:p w:rsidR="005A281D" w:rsidRDefault="005A281D" w:rsidP="003B2AE9">
      <w:pPr>
        <w:tabs>
          <w:tab w:val="left" w:pos="-1440"/>
          <w:tab w:val="left" w:pos="-720"/>
        </w:tabs>
        <w:rPr>
          <w:rFonts w:ascii="Bookman Old Style" w:hAnsi="Bookman Old Style"/>
          <w:szCs w:val="24"/>
        </w:rPr>
      </w:pPr>
    </w:p>
    <w:p w:rsidR="003E6D64" w:rsidRDefault="003E6D64" w:rsidP="003B2AE9">
      <w:pPr>
        <w:tabs>
          <w:tab w:val="left" w:pos="-1440"/>
          <w:tab w:val="left" w:pos="-720"/>
        </w:tabs>
        <w:rPr>
          <w:rFonts w:ascii="Bookman Old Style" w:hAnsi="Bookman Old Style"/>
          <w:szCs w:val="24"/>
        </w:rPr>
      </w:pPr>
      <w:r>
        <w:rPr>
          <w:rFonts w:ascii="Bookman Old Style" w:hAnsi="Bookman Old Style"/>
          <w:szCs w:val="24"/>
        </w:rPr>
        <w:t xml:space="preserve">The matter is </w:t>
      </w:r>
      <w:r w:rsidRPr="003E6D64">
        <w:rPr>
          <w:rFonts w:ascii="Bookman Old Style" w:hAnsi="Bookman Old Style"/>
          <w:b/>
          <w:szCs w:val="24"/>
        </w:rPr>
        <w:t>REMANDED</w:t>
      </w:r>
      <w:r>
        <w:rPr>
          <w:rFonts w:ascii="Bookman Old Style" w:hAnsi="Bookman Old Style"/>
          <w:szCs w:val="24"/>
        </w:rPr>
        <w:t xml:space="preserve"> to the Division to change the effective date of the claimant’s re-opened claim to March 22, 2020 and to take certifications for weeks ending March 28, 2020 through June 6, 2020 and enter as timely filed.</w:t>
      </w:r>
    </w:p>
    <w:p w:rsidR="00B2269A" w:rsidRDefault="00B2269A" w:rsidP="003B2AE9">
      <w:pPr>
        <w:tabs>
          <w:tab w:val="left" w:pos="-1440"/>
          <w:tab w:val="left" w:pos="-720"/>
        </w:tabs>
        <w:rPr>
          <w:rFonts w:ascii="Bookman Old Style" w:hAnsi="Bookman Old Style"/>
          <w:szCs w:val="24"/>
        </w:rPr>
      </w:pPr>
    </w:p>
    <w:p w:rsidR="00997005" w:rsidRPr="003B2AE9" w:rsidRDefault="00997005" w:rsidP="003B2AE9">
      <w:pPr>
        <w:tabs>
          <w:tab w:val="left" w:pos="-1440"/>
          <w:tab w:val="left" w:pos="-720"/>
        </w:tabs>
        <w:rPr>
          <w:rFonts w:ascii="Bookman Old Style" w:hAnsi="Bookman Old Style"/>
          <w:szCs w:val="24"/>
        </w:rPr>
      </w:pPr>
    </w:p>
    <w:p w:rsidR="005A281D" w:rsidRPr="003B2AE9" w:rsidRDefault="005A281D" w:rsidP="003B2AE9">
      <w:pPr>
        <w:pStyle w:val="Heading4"/>
        <w:jc w:val="center"/>
        <w:rPr>
          <w:rFonts w:ascii="Bookman Old Style" w:hAnsi="Bookman Old Style"/>
          <w:szCs w:val="24"/>
        </w:rPr>
      </w:pPr>
      <w:r w:rsidRPr="003B2AE9">
        <w:rPr>
          <w:rFonts w:ascii="Bookman Old Style" w:hAnsi="Bookman Old Style"/>
          <w:szCs w:val="24"/>
        </w:rPr>
        <w:t>APPEAL RIGHTS</w:t>
      </w:r>
    </w:p>
    <w:p w:rsidR="005A281D" w:rsidRPr="003B2AE9" w:rsidRDefault="005A281D" w:rsidP="003B2AE9">
      <w:pPr>
        <w:tabs>
          <w:tab w:val="left" w:pos="-1440"/>
          <w:tab w:val="left" w:pos="-720"/>
        </w:tabs>
        <w:rPr>
          <w:rFonts w:ascii="Bookman Old Style" w:hAnsi="Bookman Old Style"/>
          <w:szCs w:val="24"/>
        </w:rPr>
      </w:pPr>
    </w:p>
    <w:p w:rsidR="00B2269A" w:rsidRDefault="003B2AE9" w:rsidP="003B2AE9">
      <w:pPr>
        <w:rPr>
          <w:rFonts w:ascii="Bookman Old Style" w:hAnsi="Bookman Old Style"/>
          <w:szCs w:val="24"/>
        </w:rPr>
      </w:pPr>
      <w:r w:rsidRPr="006364B5">
        <w:rPr>
          <w:rFonts w:ascii="Bookman Old Style" w:hAnsi="Bookman Old Style"/>
          <w:szCs w:val="24"/>
        </w:rPr>
        <w:t>This decision is final unless an</w:t>
      </w:r>
      <w:r w:rsidRPr="00E633E8">
        <w:rPr>
          <w:rFonts w:ascii="Bookman Old Style" w:hAnsi="Bookman Old Style"/>
          <w:sz w:val="28"/>
          <w:szCs w:val="24"/>
        </w:rPr>
        <w:t xml:space="preserve"> </w:t>
      </w:r>
      <w:r w:rsidRPr="006364B5">
        <w:rPr>
          <w:rFonts w:ascii="Bookman Old Style" w:hAnsi="Bookman Old Style"/>
          <w:szCs w:val="24"/>
        </w:rPr>
        <w:t xml:space="preserve">appeal is filed </w:t>
      </w:r>
      <w:r>
        <w:rPr>
          <w:rFonts w:ascii="Bookman Old Style" w:hAnsi="Bookman Old Style"/>
          <w:szCs w:val="24"/>
        </w:rPr>
        <w:t xml:space="preserve">in writing </w:t>
      </w:r>
      <w:r w:rsidRPr="006364B5">
        <w:rPr>
          <w:rFonts w:ascii="Bookman Old Style" w:hAnsi="Bookman Old Style"/>
          <w:szCs w:val="24"/>
        </w:rPr>
        <w:t>to the Commissioner of Labor and W</w:t>
      </w:r>
      <w:r>
        <w:rPr>
          <w:rFonts w:ascii="Bookman Old Style" w:hAnsi="Bookman Old Style"/>
          <w:szCs w:val="24"/>
        </w:rPr>
        <w:t xml:space="preserve">orkforce Development </w:t>
      </w:r>
      <w:r w:rsidRPr="000B5CEB">
        <w:rPr>
          <w:rFonts w:ascii="Bookman Old Style" w:hAnsi="Bookman Old Style"/>
          <w:b/>
          <w:szCs w:val="24"/>
          <w:u w:val="single"/>
        </w:rPr>
        <w:t>within 30 days</w:t>
      </w:r>
      <w:r w:rsidRPr="006364B5">
        <w:rPr>
          <w:rFonts w:ascii="Bookman Old Style" w:hAnsi="Bookman Old Style"/>
          <w:szCs w:val="24"/>
        </w:rPr>
        <w:t xml:space="preserve"> after the decision is</w:t>
      </w:r>
    </w:p>
    <w:p w:rsidR="00997005" w:rsidRDefault="00997005" w:rsidP="003B2AE9">
      <w:pPr>
        <w:rPr>
          <w:rFonts w:ascii="Bookman Old Style" w:hAnsi="Bookman Old Style"/>
          <w:szCs w:val="24"/>
        </w:rPr>
      </w:pPr>
    </w:p>
    <w:p w:rsidR="00997005" w:rsidRDefault="00997005" w:rsidP="003B2AE9">
      <w:pPr>
        <w:rPr>
          <w:rFonts w:ascii="Bookman Old Style" w:hAnsi="Bookman Old Style"/>
          <w:szCs w:val="24"/>
        </w:rPr>
      </w:pPr>
    </w:p>
    <w:p w:rsidR="00997005" w:rsidRDefault="00997005" w:rsidP="003B2AE9">
      <w:pPr>
        <w:rPr>
          <w:rFonts w:ascii="Bookman Old Style" w:hAnsi="Bookman Old Style"/>
          <w:szCs w:val="24"/>
        </w:rPr>
      </w:pPr>
    </w:p>
    <w:p w:rsidR="00997005" w:rsidRDefault="00997005" w:rsidP="003B2AE9">
      <w:pPr>
        <w:rPr>
          <w:rFonts w:ascii="Bookman Old Style" w:hAnsi="Bookman Old Style"/>
          <w:szCs w:val="24"/>
        </w:rPr>
      </w:pPr>
    </w:p>
    <w:p w:rsidR="00997005" w:rsidRDefault="00997005" w:rsidP="003B2AE9">
      <w:pPr>
        <w:rPr>
          <w:rFonts w:ascii="Bookman Old Style" w:hAnsi="Bookman Old Style"/>
          <w:szCs w:val="24"/>
        </w:rPr>
      </w:pPr>
    </w:p>
    <w:p w:rsidR="00997005" w:rsidRDefault="00997005" w:rsidP="003B2AE9">
      <w:pPr>
        <w:rPr>
          <w:rFonts w:ascii="Bookman Old Style" w:hAnsi="Bookman Old Style"/>
          <w:szCs w:val="24"/>
        </w:rPr>
      </w:pPr>
    </w:p>
    <w:p w:rsidR="003B2AE9" w:rsidRPr="006364B5" w:rsidRDefault="003B2AE9" w:rsidP="003B2AE9">
      <w:pPr>
        <w:rPr>
          <w:rFonts w:ascii="Bookman Old Style" w:hAnsi="Bookman Old Style"/>
          <w:szCs w:val="24"/>
        </w:rPr>
      </w:pPr>
      <w:r w:rsidRPr="006364B5">
        <w:rPr>
          <w:rFonts w:ascii="Bookman Old Style" w:hAnsi="Bookman Old Style"/>
          <w:szCs w:val="24"/>
        </w:rPr>
        <w:t xml:space="preserve">mailed to each party. The appeal period may be extended only if the appeal is delayed for circumstances beyond the party’s control. A statement of rights </w:t>
      </w:r>
      <w:r w:rsidRPr="006364B5">
        <w:rPr>
          <w:rFonts w:ascii="Bookman Old Style" w:hAnsi="Bookman Old Style"/>
          <w:szCs w:val="24"/>
        </w:rPr>
        <w:lastRenderedPageBreak/>
        <w:t>and procedures is enclosed.</w:t>
      </w:r>
    </w:p>
    <w:p w:rsidR="005A281D" w:rsidRPr="003B2AE9" w:rsidRDefault="005A281D" w:rsidP="003B2AE9">
      <w:pPr>
        <w:tabs>
          <w:tab w:val="left" w:pos="-1440"/>
          <w:tab w:val="left" w:pos="-720"/>
        </w:tabs>
        <w:rPr>
          <w:rFonts w:ascii="Bookman Old Style" w:hAnsi="Bookman Old Style"/>
          <w:szCs w:val="24"/>
        </w:rPr>
      </w:pPr>
    </w:p>
    <w:p w:rsidR="005A281D" w:rsidRPr="003B2AE9" w:rsidRDefault="00AA1DFF" w:rsidP="003B2AE9">
      <w:pPr>
        <w:tabs>
          <w:tab w:val="left" w:pos="-1440"/>
          <w:tab w:val="left" w:pos="-720"/>
        </w:tabs>
        <w:rPr>
          <w:rFonts w:ascii="Bookman Old Style" w:hAnsi="Bookman Old Style"/>
          <w:szCs w:val="24"/>
        </w:rPr>
      </w:pPr>
      <w:r w:rsidRPr="003B2AE9">
        <w:rPr>
          <w:rFonts w:ascii="Bookman Old Style" w:hAnsi="Bookman Old Style"/>
          <w:szCs w:val="24"/>
        </w:rPr>
        <w:t>Dated and m</w:t>
      </w:r>
      <w:r w:rsidR="005A281D" w:rsidRPr="003B2AE9">
        <w:rPr>
          <w:rFonts w:ascii="Bookman Old Style" w:hAnsi="Bookman Old Style"/>
          <w:szCs w:val="24"/>
        </w:rPr>
        <w:t xml:space="preserve">ailed on </w:t>
      </w:r>
      <w:r w:rsidR="00B2269A">
        <w:rPr>
          <w:rFonts w:ascii="Bookman Old Style" w:hAnsi="Bookman Old Style"/>
          <w:szCs w:val="24"/>
        </w:rPr>
        <w:t>December 10, 2020</w:t>
      </w:r>
      <w:r w:rsidR="005A281D" w:rsidRPr="003B2AE9">
        <w:rPr>
          <w:rFonts w:ascii="Bookman Old Style" w:hAnsi="Bookman Old Style"/>
          <w:szCs w:val="24"/>
        </w:rPr>
        <w:t>.</w:t>
      </w:r>
    </w:p>
    <w:p w:rsidR="005A281D" w:rsidRPr="003B2AE9" w:rsidRDefault="005A281D" w:rsidP="003B2AE9">
      <w:pPr>
        <w:tabs>
          <w:tab w:val="left" w:pos="-1440"/>
          <w:tab w:val="left" w:pos="-720"/>
        </w:tabs>
        <w:rPr>
          <w:rFonts w:ascii="Bookman Old Style" w:hAnsi="Bookman Old Style"/>
          <w:szCs w:val="24"/>
        </w:rPr>
      </w:pPr>
    </w:p>
    <w:p w:rsidR="005A281D" w:rsidRPr="003B2AE9" w:rsidRDefault="007A58C9" w:rsidP="003B2AE9">
      <w:pPr>
        <w:tabs>
          <w:tab w:val="left" w:pos="-1440"/>
          <w:tab w:val="left" w:pos="-720"/>
        </w:tabs>
        <w:rPr>
          <w:rFonts w:ascii="Bookman Old Style" w:hAnsi="Bookman Old Style"/>
          <w:szCs w:val="24"/>
        </w:rPr>
      </w:pPr>
      <w:r w:rsidRPr="003B2AE9">
        <w:rPr>
          <w:rFonts w:ascii="Bookman Old Style" w:hAnsi="Bookman Old Style"/>
          <w:szCs w:val="24"/>
        </w:rPr>
        <w:tab/>
      </w:r>
      <w:r w:rsidRPr="003B2AE9">
        <w:rPr>
          <w:rFonts w:ascii="Bookman Old Style" w:hAnsi="Bookman Old Style"/>
          <w:szCs w:val="24"/>
        </w:rPr>
        <w:tab/>
      </w:r>
      <w:r w:rsidRPr="003B2AE9">
        <w:rPr>
          <w:rFonts w:ascii="Bookman Old Style" w:hAnsi="Bookman Old Style"/>
          <w:szCs w:val="24"/>
        </w:rPr>
        <w:tab/>
      </w:r>
      <w:r w:rsidRPr="003B2AE9">
        <w:rPr>
          <w:rFonts w:ascii="Bookman Old Style" w:hAnsi="Bookman Old Style"/>
          <w:szCs w:val="24"/>
        </w:rPr>
        <w:tab/>
      </w:r>
      <w:r w:rsidRPr="003B2AE9">
        <w:rPr>
          <w:rFonts w:ascii="Bookman Old Style" w:hAnsi="Bookman Old Style"/>
          <w:szCs w:val="24"/>
        </w:rPr>
        <w:tab/>
      </w:r>
      <w:r w:rsidRPr="003B2AE9">
        <w:rPr>
          <w:rFonts w:ascii="Bookman Old Style" w:hAnsi="Bookman Old Style"/>
          <w:szCs w:val="24"/>
        </w:rPr>
        <w:tab/>
        <w:t xml:space="preserve">      </w:t>
      </w:r>
    </w:p>
    <w:p w:rsidR="00B91349" w:rsidRPr="003B2AE9" w:rsidRDefault="00B91349" w:rsidP="003B2AE9">
      <w:pPr>
        <w:tabs>
          <w:tab w:val="left" w:pos="-1440"/>
          <w:tab w:val="left" w:pos="-720"/>
        </w:tabs>
        <w:rPr>
          <w:rFonts w:ascii="Bookman Old Style" w:hAnsi="Bookman Old Style"/>
          <w:szCs w:val="24"/>
        </w:rPr>
      </w:pPr>
    </w:p>
    <w:p w:rsidR="00B91349" w:rsidRPr="003B2AE9" w:rsidRDefault="00B91349" w:rsidP="003B2AE9">
      <w:pPr>
        <w:tabs>
          <w:tab w:val="left" w:pos="-1440"/>
          <w:tab w:val="left" w:pos="-720"/>
        </w:tabs>
        <w:rPr>
          <w:rFonts w:ascii="Bookman Old Style" w:hAnsi="Bookman Old Style"/>
          <w:szCs w:val="24"/>
        </w:rPr>
      </w:pPr>
    </w:p>
    <w:p w:rsidR="00774034" w:rsidRPr="003B2AE9" w:rsidRDefault="00172486" w:rsidP="003B2AE9">
      <w:pPr>
        <w:tabs>
          <w:tab w:val="left" w:pos="-1440"/>
          <w:tab w:val="left" w:pos="-720"/>
        </w:tabs>
        <w:rPr>
          <w:rFonts w:ascii="Bookman Old Style" w:hAnsi="Bookman Old Style"/>
          <w:szCs w:val="24"/>
        </w:rPr>
      </w:pPr>
      <w:r w:rsidRPr="003B2AE9">
        <w:rPr>
          <w:rFonts w:ascii="Bookman Old Style" w:hAnsi="Bookman Old Style"/>
          <w:szCs w:val="24"/>
        </w:rPr>
        <w:t xml:space="preserve">              </w:t>
      </w:r>
      <w:r w:rsidR="00774034" w:rsidRPr="003B2AE9">
        <w:rPr>
          <w:rFonts w:ascii="Bookman Old Style" w:hAnsi="Bookman Old Style"/>
          <w:szCs w:val="24"/>
        </w:rPr>
        <w:tab/>
      </w:r>
      <w:r w:rsidR="005A281D" w:rsidRPr="003B2AE9">
        <w:rPr>
          <w:rFonts w:ascii="Bookman Old Style" w:hAnsi="Bookman Old Style"/>
          <w:szCs w:val="24"/>
        </w:rPr>
        <w:t xml:space="preserve">                                  </w:t>
      </w:r>
      <w:r w:rsidRPr="003B2AE9">
        <w:rPr>
          <w:rFonts w:ascii="Bookman Old Style" w:hAnsi="Bookman Old Style"/>
          <w:szCs w:val="24"/>
        </w:rPr>
        <w:t xml:space="preserve">         </w:t>
      </w:r>
      <w:r w:rsidR="00B2269A">
        <w:rPr>
          <w:rFonts w:ascii="Bookman Old Style" w:hAnsi="Bookman Old Style"/>
          <w:szCs w:val="24"/>
        </w:rPr>
        <w:t>Rhonda Buness</w:t>
      </w:r>
      <w:r w:rsidR="005A281D" w:rsidRPr="003B2AE9">
        <w:rPr>
          <w:rFonts w:ascii="Bookman Old Style" w:hAnsi="Bookman Old Style"/>
          <w:szCs w:val="24"/>
        </w:rPr>
        <w:t xml:space="preserve">, </w:t>
      </w:r>
      <w:r w:rsidR="00CE28A0">
        <w:rPr>
          <w:rFonts w:ascii="Bookman Old Style" w:hAnsi="Bookman Old Style"/>
          <w:szCs w:val="24"/>
        </w:rPr>
        <w:t>Appeals</w:t>
      </w:r>
      <w:r w:rsidR="005A281D" w:rsidRPr="003B2AE9">
        <w:rPr>
          <w:rFonts w:ascii="Bookman Old Style" w:hAnsi="Bookman Old Style"/>
          <w:szCs w:val="24"/>
        </w:rPr>
        <w:t xml:space="preserve"> Officer</w:t>
      </w:r>
    </w:p>
    <w:sectPr w:rsidR="00774034" w:rsidRPr="003B2AE9">
      <w:headerReference w:type="even" r:id="rId9"/>
      <w:headerReference w:type="default" r:id="rId10"/>
      <w:footerReference w:type="even" r:id="rId11"/>
      <w:footerReference w:type="default" r:id="rId12"/>
      <w:headerReference w:type="first" r:id="rId13"/>
      <w:footerReference w:type="first" r:id="rId14"/>
      <w:endnotePr>
        <w:numFmt w:val="decimal"/>
      </w:endnotePr>
      <w:pgSz w:w="12240" w:h="15840"/>
      <w:pgMar w:top="720" w:right="1440" w:bottom="1440" w:left="1440" w:header="720" w:footer="1440"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3E21" w:rsidRDefault="00EF3E21">
      <w:pPr>
        <w:widowControl/>
        <w:spacing w:line="20" w:lineRule="exact"/>
      </w:pPr>
    </w:p>
  </w:endnote>
  <w:endnote w:type="continuationSeparator" w:id="0">
    <w:p w:rsidR="00EF3E21" w:rsidRDefault="00EF3E21">
      <w:r>
        <w:t xml:space="preserve"> </w:t>
      </w:r>
    </w:p>
  </w:endnote>
  <w:endnote w:type="continuationNotice" w:id="1">
    <w:p w:rsidR="00EF3E21" w:rsidRDefault="00EF3E21">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5DE5" w:rsidRDefault="00285D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5DE5" w:rsidRDefault="00285DE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5DE5" w:rsidRDefault="00285D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3E21" w:rsidRDefault="00EF3E21">
      <w:r>
        <w:separator/>
      </w:r>
    </w:p>
  </w:footnote>
  <w:footnote w:type="continuationSeparator" w:id="0">
    <w:p w:rsidR="00EF3E21" w:rsidRDefault="00EF3E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5DE5" w:rsidRDefault="00285D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CA2" w:rsidRPr="00172486" w:rsidRDefault="002F16BC">
    <w:pPr>
      <w:pStyle w:val="Header"/>
      <w:rPr>
        <w:rFonts w:ascii="Bookman Old Style" w:hAnsi="Bookman Old Style"/>
      </w:rPr>
    </w:pPr>
    <w:r>
      <w:rPr>
        <w:rFonts w:ascii="Bookman Old Style" w:hAnsi="Bookman Old Style"/>
      </w:rPr>
      <w:t>Docket</w:t>
    </w:r>
    <w:r w:rsidR="003B2AE9">
      <w:rPr>
        <w:rFonts w:ascii="Bookman Old Style" w:hAnsi="Bookman Old Style"/>
      </w:rPr>
      <w:t xml:space="preserve"># </w:t>
    </w:r>
    <w:r w:rsidR="00EF2192">
      <w:rPr>
        <w:rFonts w:ascii="Bookman Old Style" w:hAnsi="Bookman Old Style"/>
      </w:rPr>
      <w:t>20 1796</w:t>
    </w:r>
  </w:p>
  <w:p w:rsidR="008B1CA2" w:rsidRPr="00172486" w:rsidRDefault="008B1CA2">
    <w:pPr>
      <w:pStyle w:val="Header"/>
      <w:rPr>
        <w:rStyle w:val="PageNumber"/>
        <w:rFonts w:ascii="Bookman Old Style" w:hAnsi="Bookman Old Style"/>
      </w:rPr>
    </w:pPr>
    <w:r w:rsidRPr="00172486">
      <w:rPr>
        <w:rFonts w:ascii="Bookman Old Style" w:hAnsi="Bookman Old Style"/>
      </w:rPr>
      <w:t xml:space="preserve">Page </w:t>
    </w:r>
    <w:r w:rsidRPr="00172486">
      <w:rPr>
        <w:rStyle w:val="PageNumber"/>
        <w:rFonts w:ascii="Bookman Old Style" w:hAnsi="Bookman Old Style"/>
      </w:rPr>
      <w:fldChar w:fldCharType="begin"/>
    </w:r>
    <w:r w:rsidRPr="00172486">
      <w:rPr>
        <w:rStyle w:val="PageNumber"/>
        <w:rFonts w:ascii="Bookman Old Style" w:hAnsi="Bookman Old Style"/>
      </w:rPr>
      <w:instrText xml:space="preserve"> PAGE </w:instrText>
    </w:r>
    <w:r w:rsidRPr="00172486">
      <w:rPr>
        <w:rStyle w:val="PageNumber"/>
        <w:rFonts w:ascii="Bookman Old Style" w:hAnsi="Bookman Old Style"/>
      </w:rPr>
      <w:fldChar w:fldCharType="separate"/>
    </w:r>
    <w:r w:rsidR="00F47E03">
      <w:rPr>
        <w:rStyle w:val="PageNumber"/>
        <w:rFonts w:ascii="Bookman Old Style" w:hAnsi="Bookman Old Style"/>
        <w:noProof/>
      </w:rPr>
      <w:t>2</w:t>
    </w:r>
    <w:r w:rsidRPr="00172486">
      <w:rPr>
        <w:rStyle w:val="PageNumber"/>
        <w:rFonts w:ascii="Bookman Old Style" w:hAnsi="Bookman Old Style"/>
      </w:rPr>
      <w:fldChar w:fldCharType="end"/>
    </w:r>
  </w:p>
  <w:p w:rsidR="008B1CA2" w:rsidRDefault="008B1CA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5DE5" w:rsidRDefault="00285D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B6631"/>
    <w:multiLevelType w:val="hybridMultilevel"/>
    <w:tmpl w:val="A6F6AC8A"/>
    <w:lvl w:ilvl="0" w:tplc="A5D43A2A">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15:restartNumberingAfterBreak="0">
    <w:nsid w:val="09A23CAB"/>
    <w:multiLevelType w:val="hybridMultilevel"/>
    <w:tmpl w:val="D1C8604C"/>
    <w:lvl w:ilvl="0" w:tplc="EB6E5C70">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D8024CB"/>
    <w:multiLevelType w:val="hybridMultilevel"/>
    <w:tmpl w:val="B00EBCF4"/>
    <w:lvl w:ilvl="0" w:tplc="A8009432">
      <w:start w:val="1"/>
      <w:numFmt w:val="lowerLetter"/>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3" w15:restartNumberingAfterBreak="0">
    <w:nsid w:val="21A20883"/>
    <w:multiLevelType w:val="hybridMultilevel"/>
    <w:tmpl w:val="3F96D5B8"/>
    <w:lvl w:ilvl="0" w:tplc="A4B2BF9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49E7B98"/>
    <w:multiLevelType w:val="hybridMultilevel"/>
    <w:tmpl w:val="1ECA6C36"/>
    <w:lvl w:ilvl="0" w:tplc="6C4899E2">
      <w:start w:val="1"/>
      <w:numFmt w:val="decimal"/>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5" w15:restartNumberingAfterBreak="0">
    <w:nsid w:val="452738CC"/>
    <w:multiLevelType w:val="hybridMultilevel"/>
    <w:tmpl w:val="A39ADAF0"/>
    <w:lvl w:ilvl="0" w:tplc="6888AB6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4B27525E"/>
    <w:multiLevelType w:val="hybridMultilevel"/>
    <w:tmpl w:val="6E7C00B6"/>
    <w:lvl w:ilvl="0" w:tplc="A81CBBB4">
      <w:start w:val="1"/>
      <w:numFmt w:val="lowerLetter"/>
      <w:lvlText w:val="(%1)"/>
      <w:lvlJc w:val="left"/>
      <w:pPr>
        <w:ind w:left="1035" w:hanging="360"/>
      </w:pPr>
      <w:rPr>
        <w:rFonts w:hint="default"/>
      </w:rPr>
    </w:lvl>
    <w:lvl w:ilvl="1" w:tplc="04090019" w:tentative="1">
      <w:start w:val="1"/>
      <w:numFmt w:val="lowerLetter"/>
      <w:lvlText w:val="%2."/>
      <w:lvlJc w:val="left"/>
      <w:pPr>
        <w:ind w:left="1755" w:hanging="360"/>
      </w:pPr>
    </w:lvl>
    <w:lvl w:ilvl="2" w:tplc="0409001B" w:tentative="1">
      <w:start w:val="1"/>
      <w:numFmt w:val="lowerRoman"/>
      <w:lvlText w:val="%3."/>
      <w:lvlJc w:val="right"/>
      <w:pPr>
        <w:ind w:left="2475" w:hanging="180"/>
      </w:pPr>
    </w:lvl>
    <w:lvl w:ilvl="3" w:tplc="0409000F" w:tentative="1">
      <w:start w:val="1"/>
      <w:numFmt w:val="decimal"/>
      <w:lvlText w:val="%4."/>
      <w:lvlJc w:val="left"/>
      <w:pPr>
        <w:ind w:left="3195" w:hanging="360"/>
      </w:pPr>
    </w:lvl>
    <w:lvl w:ilvl="4" w:tplc="04090019" w:tentative="1">
      <w:start w:val="1"/>
      <w:numFmt w:val="lowerLetter"/>
      <w:lvlText w:val="%5."/>
      <w:lvlJc w:val="left"/>
      <w:pPr>
        <w:ind w:left="3915" w:hanging="360"/>
      </w:pPr>
    </w:lvl>
    <w:lvl w:ilvl="5" w:tplc="0409001B" w:tentative="1">
      <w:start w:val="1"/>
      <w:numFmt w:val="lowerRoman"/>
      <w:lvlText w:val="%6."/>
      <w:lvlJc w:val="right"/>
      <w:pPr>
        <w:ind w:left="4635" w:hanging="180"/>
      </w:pPr>
    </w:lvl>
    <w:lvl w:ilvl="6" w:tplc="0409000F" w:tentative="1">
      <w:start w:val="1"/>
      <w:numFmt w:val="decimal"/>
      <w:lvlText w:val="%7."/>
      <w:lvlJc w:val="left"/>
      <w:pPr>
        <w:ind w:left="5355" w:hanging="360"/>
      </w:pPr>
    </w:lvl>
    <w:lvl w:ilvl="7" w:tplc="04090019" w:tentative="1">
      <w:start w:val="1"/>
      <w:numFmt w:val="lowerLetter"/>
      <w:lvlText w:val="%8."/>
      <w:lvlJc w:val="left"/>
      <w:pPr>
        <w:ind w:left="6075" w:hanging="360"/>
      </w:pPr>
    </w:lvl>
    <w:lvl w:ilvl="8" w:tplc="0409001B" w:tentative="1">
      <w:start w:val="1"/>
      <w:numFmt w:val="lowerRoman"/>
      <w:lvlText w:val="%9."/>
      <w:lvlJc w:val="right"/>
      <w:pPr>
        <w:ind w:left="6795" w:hanging="180"/>
      </w:pPr>
    </w:lvl>
  </w:abstractNum>
  <w:abstractNum w:abstractNumId="7" w15:restartNumberingAfterBreak="0">
    <w:nsid w:val="4CBA4D7C"/>
    <w:multiLevelType w:val="hybridMultilevel"/>
    <w:tmpl w:val="D0A6FAB8"/>
    <w:lvl w:ilvl="0" w:tplc="58CAD5A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562C2127"/>
    <w:multiLevelType w:val="hybridMultilevel"/>
    <w:tmpl w:val="747AF408"/>
    <w:lvl w:ilvl="0" w:tplc="66C87726">
      <w:start w:val="1"/>
      <w:numFmt w:val="decimal"/>
      <w:lvlText w:val="(%1)"/>
      <w:lvlJc w:val="left"/>
      <w:pPr>
        <w:ind w:left="1815" w:hanging="375"/>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599C7C5C"/>
    <w:multiLevelType w:val="hybridMultilevel"/>
    <w:tmpl w:val="975401AC"/>
    <w:lvl w:ilvl="0" w:tplc="5CC4375E">
      <w:start w:val="1"/>
      <w:numFmt w:val="decimal"/>
      <w:lvlText w:val="(%1)"/>
      <w:lvlJc w:val="left"/>
      <w:pPr>
        <w:ind w:left="1935" w:hanging="360"/>
      </w:pPr>
      <w:rPr>
        <w:rFonts w:hint="default"/>
      </w:rPr>
    </w:lvl>
    <w:lvl w:ilvl="1" w:tplc="04090019" w:tentative="1">
      <w:start w:val="1"/>
      <w:numFmt w:val="lowerLetter"/>
      <w:lvlText w:val="%2."/>
      <w:lvlJc w:val="left"/>
      <w:pPr>
        <w:ind w:left="2655" w:hanging="360"/>
      </w:pPr>
    </w:lvl>
    <w:lvl w:ilvl="2" w:tplc="0409001B" w:tentative="1">
      <w:start w:val="1"/>
      <w:numFmt w:val="lowerRoman"/>
      <w:lvlText w:val="%3."/>
      <w:lvlJc w:val="right"/>
      <w:pPr>
        <w:ind w:left="3375" w:hanging="180"/>
      </w:pPr>
    </w:lvl>
    <w:lvl w:ilvl="3" w:tplc="0409000F" w:tentative="1">
      <w:start w:val="1"/>
      <w:numFmt w:val="decimal"/>
      <w:lvlText w:val="%4."/>
      <w:lvlJc w:val="left"/>
      <w:pPr>
        <w:ind w:left="4095" w:hanging="360"/>
      </w:pPr>
    </w:lvl>
    <w:lvl w:ilvl="4" w:tplc="04090019" w:tentative="1">
      <w:start w:val="1"/>
      <w:numFmt w:val="lowerLetter"/>
      <w:lvlText w:val="%5."/>
      <w:lvlJc w:val="left"/>
      <w:pPr>
        <w:ind w:left="4815" w:hanging="360"/>
      </w:pPr>
    </w:lvl>
    <w:lvl w:ilvl="5" w:tplc="0409001B" w:tentative="1">
      <w:start w:val="1"/>
      <w:numFmt w:val="lowerRoman"/>
      <w:lvlText w:val="%6."/>
      <w:lvlJc w:val="right"/>
      <w:pPr>
        <w:ind w:left="5535" w:hanging="180"/>
      </w:pPr>
    </w:lvl>
    <w:lvl w:ilvl="6" w:tplc="0409000F" w:tentative="1">
      <w:start w:val="1"/>
      <w:numFmt w:val="decimal"/>
      <w:lvlText w:val="%7."/>
      <w:lvlJc w:val="left"/>
      <w:pPr>
        <w:ind w:left="6255" w:hanging="360"/>
      </w:pPr>
    </w:lvl>
    <w:lvl w:ilvl="7" w:tplc="04090019" w:tentative="1">
      <w:start w:val="1"/>
      <w:numFmt w:val="lowerLetter"/>
      <w:lvlText w:val="%8."/>
      <w:lvlJc w:val="left"/>
      <w:pPr>
        <w:ind w:left="6975" w:hanging="360"/>
      </w:pPr>
    </w:lvl>
    <w:lvl w:ilvl="8" w:tplc="0409001B" w:tentative="1">
      <w:start w:val="1"/>
      <w:numFmt w:val="lowerRoman"/>
      <w:lvlText w:val="%9."/>
      <w:lvlJc w:val="right"/>
      <w:pPr>
        <w:ind w:left="7695" w:hanging="180"/>
      </w:pPr>
    </w:lvl>
  </w:abstractNum>
  <w:abstractNum w:abstractNumId="10" w15:restartNumberingAfterBreak="0">
    <w:nsid w:val="5E664BC7"/>
    <w:multiLevelType w:val="hybridMultilevel"/>
    <w:tmpl w:val="56C89D2A"/>
    <w:lvl w:ilvl="0" w:tplc="D6005AF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6C3A29E2"/>
    <w:multiLevelType w:val="hybridMultilevel"/>
    <w:tmpl w:val="C360C968"/>
    <w:lvl w:ilvl="0" w:tplc="75E0A198">
      <w:start w:val="2"/>
      <w:numFmt w:val="decimal"/>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num w:numId="1">
    <w:abstractNumId w:val="6"/>
  </w:num>
  <w:num w:numId="2">
    <w:abstractNumId w:val="10"/>
  </w:num>
  <w:num w:numId="3">
    <w:abstractNumId w:val="0"/>
  </w:num>
  <w:num w:numId="4">
    <w:abstractNumId w:val="2"/>
  </w:num>
  <w:num w:numId="5">
    <w:abstractNumId w:val="11"/>
  </w:num>
  <w:num w:numId="6">
    <w:abstractNumId w:val="4"/>
  </w:num>
  <w:num w:numId="7">
    <w:abstractNumId w:val="9"/>
  </w:num>
  <w:num w:numId="8">
    <w:abstractNumId w:val="1"/>
  </w:num>
  <w:num w:numId="9">
    <w:abstractNumId w:val="8"/>
  </w:num>
  <w:num w:numId="10">
    <w:abstractNumId w:val="3"/>
  </w:num>
  <w:num w:numId="11">
    <w:abstractNumId w:val="5"/>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forms" w:enforcement="0"/>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avePreviewPicture/>
  <w:hdrShapeDefaults>
    <o:shapedefaults v:ext="edit" spidmax="4097"/>
  </w:hdrShapeDefaults>
  <w:footnotePr>
    <w:footnote w:id="-1"/>
    <w:footnote w:id="0"/>
  </w:footnotePr>
  <w:endnotePr>
    <w:numFmt w:val="decimal"/>
    <w:endnote w:id="-1"/>
    <w:endnote w:id="0"/>
    <w:endnote w:id="1"/>
  </w:endnotePr>
  <w:compat>
    <w:noTabHangInd/>
    <w:noColumnBalance/>
    <w:suppressTopSpacingWP/>
    <w:usePrinterMetrics/>
    <w:wrapTrailSpace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F3E21"/>
    <w:rsid w:val="00043A6F"/>
    <w:rsid w:val="000B12C4"/>
    <w:rsid w:val="000D3B41"/>
    <w:rsid w:val="000E6530"/>
    <w:rsid w:val="000F5712"/>
    <w:rsid w:val="00172486"/>
    <w:rsid w:val="001B4C99"/>
    <w:rsid w:val="001E771F"/>
    <w:rsid w:val="00285DE5"/>
    <w:rsid w:val="002A3C37"/>
    <w:rsid w:val="002C0B80"/>
    <w:rsid w:val="002C42D3"/>
    <w:rsid w:val="002D5A94"/>
    <w:rsid w:val="002F16BC"/>
    <w:rsid w:val="00344FD9"/>
    <w:rsid w:val="0035283E"/>
    <w:rsid w:val="00382877"/>
    <w:rsid w:val="003B2AE9"/>
    <w:rsid w:val="003E6D64"/>
    <w:rsid w:val="00470A5B"/>
    <w:rsid w:val="00573AB1"/>
    <w:rsid w:val="005A281D"/>
    <w:rsid w:val="005A386F"/>
    <w:rsid w:val="005E6526"/>
    <w:rsid w:val="006717D5"/>
    <w:rsid w:val="006D0CF8"/>
    <w:rsid w:val="00712875"/>
    <w:rsid w:val="00774034"/>
    <w:rsid w:val="007A58C9"/>
    <w:rsid w:val="00800B80"/>
    <w:rsid w:val="00814E0A"/>
    <w:rsid w:val="008B1CA2"/>
    <w:rsid w:val="00997005"/>
    <w:rsid w:val="009E78C1"/>
    <w:rsid w:val="00A154E0"/>
    <w:rsid w:val="00A2415E"/>
    <w:rsid w:val="00A51C81"/>
    <w:rsid w:val="00A846B9"/>
    <w:rsid w:val="00AA1DFF"/>
    <w:rsid w:val="00B2269A"/>
    <w:rsid w:val="00B317D0"/>
    <w:rsid w:val="00B74186"/>
    <w:rsid w:val="00B74F21"/>
    <w:rsid w:val="00B91349"/>
    <w:rsid w:val="00C47467"/>
    <w:rsid w:val="00C96464"/>
    <w:rsid w:val="00CE28A0"/>
    <w:rsid w:val="00D025D4"/>
    <w:rsid w:val="00D829CE"/>
    <w:rsid w:val="00D962E2"/>
    <w:rsid w:val="00DA59C2"/>
    <w:rsid w:val="00DD54FF"/>
    <w:rsid w:val="00E137D6"/>
    <w:rsid w:val="00EB2E39"/>
    <w:rsid w:val="00EF2192"/>
    <w:rsid w:val="00EF3E21"/>
    <w:rsid w:val="00F47E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F29EA49"/>
  <w15:chartTrackingRefBased/>
  <w15:docId w15:val="{5182C678-25C8-4B0C-9AD7-8327B5059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rPr>
      <w:rFonts w:ascii="Courier New" w:hAnsi="Courier New"/>
      <w:snapToGrid w:val="0"/>
      <w:sz w:val="24"/>
    </w:rPr>
  </w:style>
  <w:style w:type="paragraph" w:styleId="Heading1">
    <w:name w:val="heading 1"/>
    <w:basedOn w:val="Normal"/>
    <w:next w:val="Normal"/>
    <w:qFormat/>
    <w:pPr>
      <w:keepNext/>
      <w:tabs>
        <w:tab w:val="center" w:pos="4680"/>
      </w:tabs>
      <w:suppressAutoHyphens/>
      <w:jc w:val="center"/>
      <w:outlineLvl w:val="0"/>
    </w:pPr>
    <w:rPr>
      <w:b/>
      <w:u w:val="single"/>
    </w:rPr>
  </w:style>
  <w:style w:type="paragraph" w:styleId="Heading2">
    <w:name w:val="heading 2"/>
    <w:basedOn w:val="Normal"/>
    <w:next w:val="Normal"/>
    <w:qFormat/>
    <w:pPr>
      <w:keepNext/>
      <w:tabs>
        <w:tab w:val="left" w:pos="-1440"/>
        <w:tab w:val="left" w:pos="-720"/>
      </w:tabs>
      <w:suppressAutoHyphens/>
      <w:ind w:right="-360"/>
      <w:jc w:val="center"/>
      <w:outlineLvl w:val="1"/>
    </w:pPr>
    <w:rPr>
      <w:b/>
    </w:rPr>
  </w:style>
  <w:style w:type="paragraph" w:styleId="Heading3">
    <w:name w:val="heading 3"/>
    <w:basedOn w:val="Normal"/>
    <w:next w:val="Normal"/>
    <w:qFormat/>
    <w:pPr>
      <w:keepNext/>
      <w:jc w:val="center"/>
      <w:outlineLvl w:val="2"/>
    </w:pPr>
    <w:rPr>
      <w:b/>
    </w:rPr>
  </w:style>
  <w:style w:type="paragraph" w:styleId="Heading4">
    <w:name w:val="heading 4"/>
    <w:basedOn w:val="Normal"/>
    <w:next w:val="Normal"/>
    <w:qFormat/>
    <w:pPr>
      <w:keepNext/>
      <w:tabs>
        <w:tab w:val="left" w:pos="-1440"/>
        <w:tab w:val="left" w:pos="-720"/>
      </w:tabs>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character" w:customStyle="1" w:styleId="Document8">
    <w:name w:val="Document 8"/>
    <w:basedOn w:val="DefaultParagraphFont"/>
  </w:style>
  <w:style w:type="character" w:customStyle="1" w:styleId="Document4">
    <w:name w:val="Document 4"/>
    <w:rPr>
      <w:b/>
      <w:i/>
      <w:sz w:val="24"/>
    </w:rPr>
  </w:style>
  <w:style w:type="character" w:customStyle="1" w:styleId="Document6">
    <w:name w:val="Document 6"/>
    <w:basedOn w:val="DefaultParagraphFont"/>
  </w:style>
  <w:style w:type="character" w:customStyle="1" w:styleId="Document5">
    <w:name w:val="Document 5"/>
    <w:basedOn w:val="DefaultParagraphFont"/>
  </w:style>
  <w:style w:type="character" w:customStyle="1" w:styleId="Document2">
    <w:name w:val="Document 2"/>
    <w:rPr>
      <w:rFonts w:ascii="Courier New" w:hAnsi="Courier New"/>
      <w:noProof w:val="0"/>
      <w:sz w:val="24"/>
      <w:lang w:val="en-US"/>
    </w:rPr>
  </w:style>
  <w:style w:type="character" w:customStyle="1" w:styleId="Document7">
    <w:name w:val="Document 7"/>
    <w:basedOn w:val="DefaultParagraphFont"/>
  </w:style>
  <w:style w:type="character" w:customStyle="1" w:styleId="Bibliogrphy">
    <w:name w:val="Bibliogrphy"/>
    <w:basedOn w:val="DefaultParagraphFont"/>
  </w:style>
  <w:style w:type="character" w:customStyle="1" w:styleId="RightPar1">
    <w:name w:val="Right Par 1"/>
    <w:basedOn w:val="DefaultParagraphFont"/>
  </w:style>
  <w:style w:type="character" w:customStyle="1" w:styleId="RightPar2">
    <w:name w:val="Right Par 2"/>
    <w:basedOn w:val="DefaultParagraphFont"/>
  </w:style>
  <w:style w:type="character" w:customStyle="1" w:styleId="Document3">
    <w:name w:val="Document 3"/>
    <w:rPr>
      <w:rFonts w:ascii="Courier New" w:hAnsi="Courier New"/>
      <w:noProof w:val="0"/>
      <w:sz w:val="24"/>
      <w:lang w:val="en-US"/>
    </w:rPr>
  </w:style>
  <w:style w:type="character" w:customStyle="1" w:styleId="RightPar3">
    <w:name w:val="Right Par 3"/>
    <w:basedOn w:val="DefaultParagraphFont"/>
  </w:style>
  <w:style w:type="character" w:customStyle="1" w:styleId="RightPar4">
    <w:name w:val="Right Par 4"/>
    <w:basedOn w:val="DefaultParagraphFont"/>
  </w:style>
  <w:style w:type="character" w:customStyle="1" w:styleId="RightPar5">
    <w:name w:val="Right Par 5"/>
    <w:basedOn w:val="DefaultParagraphFont"/>
  </w:style>
  <w:style w:type="character" w:customStyle="1" w:styleId="RightPar6">
    <w:name w:val="Right Par 6"/>
    <w:basedOn w:val="DefaultParagraphFont"/>
  </w:style>
  <w:style w:type="character" w:customStyle="1" w:styleId="RightPar7">
    <w:name w:val="Right Par 7"/>
    <w:basedOn w:val="DefaultParagraphFont"/>
  </w:style>
  <w:style w:type="character" w:customStyle="1" w:styleId="RightPar8">
    <w:name w:val="Right Par 8"/>
    <w:basedOn w:val="DefaultParagraphFont"/>
  </w:style>
  <w:style w:type="character" w:customStyle="1" w:styleId="TechInit">
    <w:name w:val="Tech Init"/>
    <w:rPr>
      <w:rFonts w:ascii="Courier New" w:hAnsi="Courier New"/>
      <w:noProof w:val="0"/>
      <w:sz w:val="24"/>
      <w:lang w:val="en-US"/>
    </w:rPr>
  </w:style>
  <w:style w:type="paragraph" w:customStyle="1" w:styleId="Document1">
    <w:name w:val="Document 1"/>
    <w:pPr>
      <w:keepNext/>
      <w:keepLines/>
      <w:widowControl w:val="0"/>
      <w:tabs>
        <w:tab w:val="left" w:pos="-720"/>
      </w:tabs>
      <w:suppressAutoHyphens/>
    </w:pPr>
    <w:rPr>
      <w:rFonts w:ascii="Courier New" w:hAnsi="Courier New"/>
      <w:snapToGrid w:val="0"/>
      <w:sz w:val="24"/>
    </w:rPr>
  </w:style>
  <w:style w:type="character" w:customStyle="1" w:styleId="Technical5">
    <w:name w:val="Technical 5"/>
    <w:basedOn w:val="DefaultParagraphFont"/>
  </w:style>
  <w:style w:type="character" w:customStyle="1" w:styleId="Technical6">
    <w:name w:val="Technical 6"/>
    <w:basedOn w:val="DefaultParagraphFont"/>
  </w:style>
  <w:style w:type="character" w:customStyle="1" w:styleId="Technical2">
    <w:name w:val="Technical 2"/>
    <w:rPr>
      <w:rFonts w:ascii="Courier New" w:hAnsi="Courier New"/>
      <w:noProof w:val="0"/>
      <w:sz w:val="24"/>
      <w:lang w:val="en-US"/>
    </w:rPr>
  </w:style>
  <w:style w:type="character" w:customStyle="1" w:styleId="Technical3">
    <w:name w:val="Technical 3"/>
    <w:rPr>
      <w:rFonts w:ascii="Courier New" w:hAnsi="Courier New"/>
      <w:noProof w:val="0"/>
      <w:sz w:val="24"/>
      <w:lang w:val="en-US"/>
    </w:rPr>
  </w:style>
  <w:style w:type="character" w:customStyle="1" w:styleId="Technical4">
    <w:name w:val="Technical 4"/>
    <w:basedOn w:val="DefaultParagraphFont"/>
  </w:style>
  <w:style w:type="character" w:customStyle="1" w:styleId="Technical1">
    <w:name w:val="Technical 1"/>
    <w:rPr>
      <w:rFonts w:ascii="Courier New" w:hAnsi="Courier New"/>
      <w:noProof w:val="0"/>
      <w:sz w:val="24"/>
      <w:lang w:val="en-US"/>
    </w:rPr>
  </w:style>
  <w:style w:type="character" w:customStyle="1" w:styleId="Technical7">
    <w:name w:val="Technical 7"/>
    <w:basedOn w:val="DefaultParagraphFont"/>
  </w:style>
  <w:style w:type="character" w:customStyle="1" w:styleId="Technical8">
    <w:name w:val="Technical 8"/>
    <w:basedOn w:val="DefaultParagraphFont"/>
  </w:style>
  <w:style w:type="character" w:customStyle="1" w:styleId="DocInit">
    <w:name w:val="Doc Init"/>
    <w:basedOn w:val="DefaultParagraphFont"/>
  </w:style>
  <w:style w:type="character" w:customStyle="1" w:styleId="BulletList">
    <w:name w:val="Bullet List"/>
    <w:basedOn w:val="DefaultParagraphFont"/>
  </w:style>
  <w:style w:type="paragraph" w:styleId="TOC1">
    <w:name w:val="toc 1"/>
    <w:basedOn w:val="Normal"/>
    <w:next w:val="Normal"/>
    <w:autoRedefine/>
    <w:semiHidden/>
    <w:pPr>
      <w:tabs>
        <w:tab w:val="right" w:leader="dot" w:pos="9360"/>
      </w:tabs>
      <w:suppressAutoHyphens/>
      <w:spacing w:before="480"/>
      <w:ind w:left="720" w:right="720" w:hanging="720"/>
    </w:pPr>
  </w:style>
  <w:style w:type="paragraph" w:styleId="TOC2">
    <w:name w:val="toc 2"/>
    <w:basedOn w:val="Normal"/>
    <w:next w:val="Normal"/>
    <w:autoRedefine/>
    <w:semiHidden/>
    <w:pPr>
      <w:tabs>
        <w:tab w:val="right" w:leader="dot" w:pos="9360"/>
      </w:tabs>
      <w:suppressAutoHyphens/>
      <w:ind w:left="1440" w:right="720" w:hanging="720"/>
    </w:pPr>
  </w:style>
  <w:style w:type="paragraph" w:styleId="TOC3">
    <w:name w:val="toc 3"/>
    <w:basedOn w:val="Normal"/>
    <w:next w:val="Normal"/>
    <w:autoRedefine/>
    <w:semiHidden/>
    <w:pPr>
      <w:tabs>
        <w:tab w:val="right" w:leader="dot" w:pos="9360"/>
      </w:tabs>
      <w:suppressAutoHyphens/>
      <w:ind w:left="2160" w:right="720" w:hanging="720"/>
    </w:pPr>
  </w:style>
  <w:style w:type="paragraph" w:styleId="TOC4">
    <w:name w:val="toc 4"/>
    <w:basedOn w:val="Normal"/>
    <w:next w:val="Normal"/>
    <w:autoRedefine/>
    <w:semiHidden/>
    <w:pPr>
      <w:tabs>
        <w:tab w:val="right" w:leader="dot" w:pos="9360"/>
      </w:tabs>
      <w:suppressAutoHyphens/>
      <w:ind w:left="2880" w:right="720" w:hanging="720"/>
    </w:pPr>
  </w:style>
  <w:style w:type="paragraph" w:styleId="TOC5">
    <w:name w:val="toc 5"/>
    <w:basedOn w:val="Normal"/>
    <w:next w:val="Normal"/>
    <w:autoRedefine/>
    <w:semiHidden/>
    <w:pPr>
      <w:tabs>
        <w:tab w:val="right" w:leader="dot" w:pos="9360"/>
      </w:tabs>
      <w:suppressAutoHyphens/>
      <w:ind w:left="3600" w:right="720" w:hanging="720"/>
    </w:pPr>
  </w:style>
  <w:style w:type="paragraph" w:styleId="TOC6">
    <w:name w:val="toc 6"/>
    <w:basedOn w:val="Normal"/>
    <w:next w:val="Normal"/>
    <w:autoRedefine/>
    <w:semiHidden/>
    <w:pPr>
      <w:tabs>
        <w:tab w:val="right" w:pos="9360"/>
      </w:tabs>
      <w:suppressAutoHyphens/>
      <w:ind w:left="720" w:hanging="720"/>
    </w:pPr>
  </w:style>
  <w:style w:type="paragraph" w:styleId="TOC7">
    <w:name w:val="toc 7"/>
    <w:basedOn w:val="Normal"/>
    <w:next w:val="Normal"/>
    <w:autoRedefine/>
    <w:semiHidden/>
    <w:pPr>
      <w:suppressAutoHyphens/>
      <w:ind w:left="720" w:hanging="720"/>
    </w:pPr>
  </w:style>
  <w:style w:type="paragraph" w:styleId="TOC8">
    <w:name w:val="toc 8"/>
    <w:basedOn w:val="Normal"/>
    <w:next w:val="Normal"/>
    <w:autoRedefine/>
    <w:semiHidden/>
    <w:pPr>
      <w:tabs>
        <w:tab w:val="right" w:pos="9360"/>
      </w:tabs>
      <w:suppressAutoHyphens/>
      <w:ind w:left="720" w:hanging="720"/>
    </w:pPr>
  </w:style>
  <w:style w:type="paragraph" w:styleId="TOC9">
    <w:name w:val="toc 9"/>
    <w:basedOn w:val="Normal"/>
    <w:next w:val="Normal"/>
    <w:autoRedefine/>
    <w:semiHidden/>
    <w:pPr>
      <w:tabs>
        <w:tab w:val="right" w:leader="dot" w:pos="9360"/>
      </w:tabs>
      <w:suppressAutoHyphens/>
      <w:ind w:left="720" w:hanging="720"/>
    </w:pPr>
  </w:style>
  <w:style w:type="paragraph" w:styleId="Index1">
    <w:name w:val="index 1"/>
    <w:basedOn w:val="Normal"/>
    <w:next w:val="Normal"/>
    <w:autoRedefine/>
    <w:semiHidden/>
    <w:pPr>
      <w:tabs>
        <w:tab w:val="right" w:leader="dot" w:pos="9360"/>
      </w:tabs>
      <w:suppressAutoHyphens/>
      <w:ind w:left="1440" w:right="720" w:hanging="1440"/>
    </w:pPr>
  </w:style>
  <w:style w:type="paragraph" w:styleId="Index2">
    <w:name w:val="index 2"/>
    <w:basedOn w:val="Normal"/>
    <w:next w:val="Normal"/>
    <w:autoRedefine/>
    <w:semiHidden/>
    <w:pPr>
      <w:tabs>
        <w:tab w:val="right" w:leader="dot" w:pos="9360"/>
      </w:tabs>
      <w:suppressAutoHyphens/>
      <w:ind w:left="1440" w:right="720" w:hanging="720"/>
    </w:pPr>
  </w:style>
  <w:style w:type="paragraph" w:styleId="TOAHeading">
    <w:name w:val="toa heading"/>
    <w:basedOn w:val="Normal"/>
    <w:next w:val="Normal"/>
    <w:semiHidden/>
    <w:pPr>
      <w:tabs>
        <w:tab w:val="right" w:pos="9360"/>
      </w:tabs>
      <w:suppressAutoHyphens/>
    </w:pPr>
  </w:style>
  <w:style w:type="paragraph" w:styleId="Caption">
    <w:name w:val="caption"/>
    <w:basedOn w:val="Normal"/>
    <w:next w:val="Normal"/>
    <w:qFormat/>
  </w:style>
  <w:style w:type="character" w:customStyle="1" w:styleId="EquationCaption">
    <w:name w:val="_Equation Caption"/>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rPr>
  </w:style>
  <w:style w:type="paragraph" w:styleId="ListParagraph">
    <w:name w:val="List Paragraph"/>
    <w:basedOn w:val="Normal"/>
    <w:uiPriority w:val="34"/>
    <w:qFormat/>
    <w:rsid w:val="000F5712"/>
    <w:pPr>
      <w:ind w:left="720"/>
    </w:pPr>
  </w:style>
  <w:style w:type="paragraph" w:styleId="NormalWeb">
    <w:name w:val="Normal (Web)"/>
    <w:basedOn w:val="Normal"/>
    <w:uiPriority w:val="99"/>
    <w:unhideWhenUsed/>
    <w:rsid w:val="00B317D0"/>
    <w:pPr>
      <w:widowControl/>
      <w:spacing w:before="100" w:beforeAutospacing="1" w:after="100" w:afterAutospacing="1"/>
    </w:pPr>
    <w:rPr>
      <w:rFonts w:ascii="Times New Roman" w:hAnsi="Times New Roman"/>
      <w:snapToGrid/>
      <w:szCs w:val="24"/>
    </w:rPr>
  </w:style>
  <w:style w:type="character" w:styleId="Hyperlink">
    <w:name w:val="Hyperlink"/>
    <w:uiPriority w:val="99"/>
    <w:semiHidden/>
    <w:unhideWhenUsed/>
    <w:rsid w:val="00B317D0"/>
    <w:rPr>
      <w:color w:val="0000FF"/>
      <w:u w:val="single"/>
    </w:rPr>
  </w:style>
  <w:style w:type="paragraph" w:styleId="BodyTextIndent">
    <w:name w:val="Body Text Indent"/>
    <w:basedOn w:val="Normal"/>
    <w:link w:val="BodyTextIndentChar"/>
    <w:uiPriority w:val="99"/>
    <w:unhideWhenUsed/>
    <w:rsid w:val="00B317D0"/>
    <w:pPr>
      <w:spacing w:after="120"/>
      <w:ind w:left="360"/>
    </w:pPr>
  </w:style>
  <w:style w:type="character" w:customStyle="1" w:styleId="BodyTextIndentChar">
    <w:name w:val="Body Text Indent Char"/>
    <w:link w:val="BodyTextIndent"/>
    <w:uiPriority w:val="99"/>
    <w:rsid w:val="00B317D0"/>
    <w:rPr>
      <w:rFonts w:ascii="Courier New" w:hAnsi="Courier New"/>
      <w:snapToGrid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1274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F:\APPEALS\new%20templates\63-66%20Backd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63-66 Backdate</Template>
  <TotalTime>0</TotalTime>
  <Pages>5</Pages>
  <Words>1476</Words>
  <Characters>7440</Characters>
  <Application>Microsoft Office Word</Application>
  <DocSecurity>0</DocSecurity>
  <Lines>195</Lines>
  <Paragraphs>65</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ALASKA DEPARTMENT OF LABOR</vt:lpstr>
      <vt:lpstr>        </vt:lpstr>
      <vt:lpstr>        </vt:lpstr>
      <vt:lpstr>        </vt:lpstr>
      <vt:lpstr>        </vt:lpstr>
      <vt:lpstr>        APPEAL TRIBUNAL DECISION</vt:lpstr>
      <vt:lpstr>Docket number: 20 1796  Hearing date: December 7, 2020</vt:lpstr>
      <vt:lpstr>CLAIMANT:</vt:lpstr>
    </vt:vector>
  </TitlesOfParts>
  <Company>DOLWD</Company>
  <LinksUpToDate>false</LinksUpToDate>
  <CharactersWithSpaces>8851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ALASKA DEPARTMENT OF LABOR</dc:title>
  <dc:subject/>
  <dc:creator>Buness, Rhonda L (DOL)</dc:creator>
  <cp:keywords/>
  <cp:lastModifiedBy>Buness, Rhonda L (DOL)</cp:lastModifiedBy>
  <cp:revision>2</cp:revision>
  <cp:lastPrinted>1900-01-01T09:00:00Z</cp:lastPrinted>
  <dcterms:created xsi:type="dcterms:W3CDTF">2020-12-10T19:08:00Z</dcterms:created>
  <dcterms:modified xsi:type="dcterms:W3CDTF">2020-12-10T19:08:00Z</dcterms:modified>
</cp:coreProperties>
</file>